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header7.xml" ContentType="application/vnd.openxmlformats-officedocument.wordprocessingml.header+xml"/>
  <Override PartName="/word/footer10.xml" ContentType="application/vnd.openxmlformats-officedocument.wordprocessingml.footer+xml"/>
  <Override PartName="/word/header8.xml" ContentType="application/vnd.openxmlformats-officedocument.wordprocessingml.header+xml"/>
  <Override PartName="/word/footer11.xml" ContentType="application/vnd.openxmlformats-officedocument.wordprocessingml.footer+xml"/>
  <Override PartName="/word/header9.xml" ContentType="application/vnd.openxmlformats-officedocument.wordprocessingml.header+xml"/>
  <Override PartName="/word/footer12.xml" ContentType="application/vnd.openxmlformats-officedocument.wordprocessingml.footer+xml"/>
  <Override PartName="/word/header10.xml" ContentType="application/vnd.openxmlformats-officedocument.wordprocessingml.header+xml"/>
  <Override PartName="/word/footer13.xml" ContentType="application/vnd.openxmlformats-officedocument.wordprocessingml.footer+xml"/>
  <Override PartName="/word/header11.xml" ContentType="application/vnd.openxmlformats-officedocument.wordprocessingml.header+xml"/>
  <Override PartName="/word/footer14.xml" ContentType="application/vnd.openxmlformats-officedocument.wordprocessingml.footer+xml"/>
  <Override PartName="/word/header12.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header13.xml" ContentType="application/vnd.openxmlformats-officedocument.wordprocessingml.header+xml"/>
  <Override PartName="/word/footer18.xml" ContentType="application/vnd.openxmlformats-officedocument.wordprocessingml.footer+xml"/>
  <Override PartName="/word/header14.xml" ContentType="application/vnd.openxmlformats-officedocument.wordprocessingml.header+xml"/>
  <Override PartName="/word/footer19.xml" ContentType="application/vnd.openxmlformats-officedocument.wordprocessingml.footer+xml"/>
  <Override PartName="/word/header15.xml" ContentType="application/vnd.openxmlformats-officedocument.wordprocessingml.header+xml"/>
  <Override PartName="/word/footer2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73630F" w14:textId="77777777" w:rsidR="00E86304" w:rsidRPr="00FD274F" w:rsidRDefault="00E86304" w:rsidP="00E86304">
      <w:pPr>
        <w:pStyle w:val="Body"/>
      </w:pPr>
      <w:r w:rsidRPr="00FD274F">
        <w:rPr>
          <w:noProof/>
          <w:sz w:val="20"/>
        </w:rPr>
        <w:drawing>
          <wp:inline distT="0" distB="0" distL="0" distR="0" wp14:anchorId="3302B68B" wp14:editId="0A21D45B">
            <wp:extent cx="3962400" cy="1000125"/>
            <wp:effectExtent l="0" t="0" r="0" b="9525"/>
            <wp:docPr id="3" name="Picture 3" descr="Logo of the Office of Parliamentary Couns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of the Office of Parliamentary Counsel"/>
                    <pic:cNvPicPr>
                      <a:picLocks noChangeAspect="1" noChangeArrowheads="1"/>
                    </pic:cNvPicPr>
                  </pic:nvPicPr>
                  <pic:blipFill>
                    <a:blip r:embed="rId8"/>
                    <a:srcRect/>
                    <a:stretch>
                      <a:fillRect/>
                    </a:stretch>
                  </pic:blipFill>
                  <pic:spPr bwMode="auto">
                    <a:xfrm>
                      <a:off x="0" y="0"/>
                      <a:ext cx="3962400" cy="1000125"/>
                    </a:xfrm>
                    <a:prstGeom prst="rect">
                      <a:avLst/>
                    </a:prstGeom>
                    <a:noFill/>
                    <a:ln w="9525">
                      <a:noFill/>
                      <a:miter lim="800000"/>
                      <a:headEnd/>
                      <a:tailEnd/>
                    </a:ln>
                  </pic:spPr>
                </pic:pic>
              </a:graphicData>
            </a:graphic>
          </wp:inline>
        </w:drawing>
      </w:r>
    </w:p>
    <w:p w14:paraId="7DAC3B12" w14:textId="77777777" w:rsidR="00E86304" w:rsidRPr="00FD274F" w:rsidRDefault="00E86304" w:rsidP="00E86304">
      <w:pPr>
        <w:pStyle w:val="Head1"/>
        <w:spacing w:before="3200"/>
        <w:ind w:left="284"/>
        <w:rPr>
          <w:sz w:val="44"/>
          <w:szCs w:val="44"/>
        </w:rPr>
      </w:pPr>
      <w:bookmarkStart w:id="0" w:name="_Toc238117516"/>
      <w:r w:rsidRPr="00FD274F">
        <w:rPr>
          <w:sz w:val="44"/>
          <w:szCs w:val="44"/>
        </w:rPr>
        <w:t>Instruments Handbook</w:t>
      </w:r>
      <w:bookmarkEnd w:id="0"/>
    </w:p>
    <w:p w14:paraId="53630EDC" w14:textId="77777777" w:rsidR="00E86304" w:rsidRPr="00FD274F" w:rsidRDefault="00E86304" w:rsidP="00E86304">
      <w:pPr>
        <w:pStyle w:val="Release"/>
        <w:spacing w:before="6000"/>
        <w:ind w:left="284"/>
      </w:pPr>
      <w:r w:rsidRPr="00FD274F">
        <w:t xml:space="preserve">Document release </w:t>
      </w:r>
      <w:r>
        <w:t>[4</w:t>
      </w:r>
      <w:r w:rsidRPr="00FD274F">
        <w:t>.</w:t>
      </w:r>
      <w:r>
        <w:t>0]</w:t>
      </w:r>
    </w:p>
    <w:p w14:paraId="1A3DE85D" w14:textId="77777777" w:rsidR="00E86304" w:rsidRPr="00FD274F" w:rsidRDefault="00E86304" w:rsidP="00E86304">
      <w:pPr>
        <w:pStyle w:val="Issued"/>
        <w:spacing w:before="0"/>
        <w:ind w:left="284"/>
      </w:pPr>
      <w:r w:rsidRPr="00E75DFA">
        <w:t xml:space="preserve">Reissued </w:t>
      </w:r>
      <w:r>
        <w:t>September 2026</w:t>
      </w:r>
    </w:p>
    <w:p w14:paraId="5407F47A" w14:textId="77777777" w:rsidR="00E86304" w:rsidRPr="00FD274F" w:rsidRDefault="00E86304" w:rsidP="00E86304">
      <w:pPr>
        <w:pStyle w:val="Body"/>
      </w:pPr>
    </w:p>
    <w:p w14:paraId="503ACB1B" w14:textId="77777777" w:rsidR="00E86304" w:rsidRDefault="00E86304" w:rsidP="00E86304">
      <w:pPr>
        <w:spacing w:line="240" w:lineRule="auto"/>
        <w:rPr>
          <w:rFonts w:ascii="Arial" w:eastAsia="Times New Roman" w:hAnsi="Arial" w:cs="Times New Roman"/>
          <w:b/>
          <w:kern w:val="28"/>
          <w:sz w:val="28"/>
          <w:lang w:eastAsia="en-AU"/>
        </w:rPr>
      </w:pPr>
      <w:r>
        <w:br w:type="page"/>
      </w:r>
    </w:p>
    <w:p w14:paraId="7A8E9C07" w14:textId="77777777" w:rsidR="00E86304" w:rsidRPr="003C7815" w:rsidRDefault="00E86304" w:rsidP="00E86304">
      <w:pPr>
        <w:pStyle w:val="Head1"/>
      </w:pPr>
      <w:bookmarkStart w:id="1" w:name="_Toc238117517"/>
      <w:bookmarkStart w:id="2" w:name="_Hlk178837574"/>
      <w:r w:rsidRPr="00551EDD">
        <w:lastRenderedPageBreak/>
        <w:t>Fo</w:t>
      </w:r>
      <w:r w:rsidRPr="003C7815">
        <w:t>reword</w:t>
      </w:r>
      <w:bookmarkEnd w:id="1"/>
    </w:p>
    <w:p w14:paraId="4C04B4D9" w14:textId="77777777" w:rsidR="00E86304" w:rsidRPr="00C629FB" w:rsidRDefault="00E86304" w:rsidP="00E86304">
      <w:pPr>
        <w:pStyle w:val="BodyNum"/>
        <w:numPr>
          <w:ilvl w:val="0"/>
          <w:numId w:val="0"/>
        </w:numPr>
      </w:pPr>
      <w:r w:rsidRPr="00C629FB">
        <w:t>The Instruments Handbook is produced by the Office of Parliamentary Counsel (</w:t>
      </w:r>
      <w:proofErr w:type="spellStart"/>
      <w:r w:rsidRPr="00C629FB">
        <w:t>OPC</w:t>
      </w:r>
      <w:proofErr w:type="spellEnd"/>
      <w:r w:rsidRPr="00C629FB">
        <w:t xml:space="preserve">) to assist Commonwealth agencies in preparing, managing and maintaining instruments throughout their lifecycle. It brings together the key information agencies need to meet </w:t>
      </w:r>
      <w:r>
        <w:t>legislative</w:t>
      </w:r>
      <w:r w:rsidRPr="00C629FB">
        <w:t xml:space="preserve"> requirements and support the publication of legislation on the Federal Register of Legislation</w:t>
      </w:r>
      <w:r>
        <w:t xml:space="preserve"> (the Register)</w:t>
      </w:r>
      <w:r w:rsidRPr="00C629FB">
        <w:t>.</w:t>
      </w:r>
    </w:p>
    <w:p w14:paraId="6B9ACFDB" w14:textId="77777777" w:rsidR="00E86304" w:rsidRPr="00C629FB" w:rsidRDefault="00E86304" w:rsidP="00E86304">
      <w:pPr>
        <w:pStyle w:val="BodyNum"/>
        <w:numPr>
          <w:ilvl w:val="0"/>
          <w:numId w:val="0"/>
        </w:numPr>
      </w:pPr>
      <w:r w:rsidRPr="00C629FB">
        <w:t xml:space="preserve">This edition reflects an important change to </w:t>
      </w:r>
      <w:proofErr w:type="spellStart"/>
      <w:r w:rsidRPr="00C629FB">
        <w:t>OPC</w:t>
      </w:r>
      <w:r>
        <w:t>’</w:t>
      </w:r>
      <w:r w:rsidRPr="00C629FB">
        <w:t>s</w:t>
      </w:r>
      <w:proofErr w:type="spellEnd"/>
      <w:r w:rsidRPr="00C629FB">
        <w:t xml:space="preserve"> guidance resources. The material previously contained in Chapter 5 has been removed and is now published separately as the Compilations Handbook. Together, the two Handbooks provide comprehensive guidance for agencies involved in</w:t>
      </w:r>
      <w:r>
        <w:t xml:space="preserve"> administering</w:t>
      </w:r>
      <w:r w:rsidRPr="00C629FB">
        <w:t xml:space="preserve"> Commonwealth legislation. The Instruments Handbook focuses on the making and ongoing management of instruments, while the Compilations Handbook provides guidance on preparing accurate and accessible compilations in accordance with legislative requirements. This separation recognises the specialised nature of compilation</w:t>
      </w:r>
      <w:r>
        <w:t>s</w:t>
      </w:r>
      <w:r w:rsidRPr="00C629FB">
        <w:t xml:space="preserve"> work while making it easier for users to find the guidance most relevant to their needs.</w:t>
      </w:r>
    </w:p>
    <w:p w14:paraId="2D24FB65" w14:textId="77777777" w:rsidR="00E86304" w:rsidRPr="00C629FB" w:rsidRDefault="00E86304" w:rsidP="00E86304">
      <w:pPr>
        <w:pStyle w:val="BodyNum"/>
        <w:numPr>
          <w:ilvl w:val="0"/>
          <w:numId w:val="0"/>
        </w:numPr>
      </w:pPr>
      <w:r w:rsidRPr="00C629FB">
        <w:t>The Instruments Handbook continues to provide practical guidance on</w:t>
      </w:r>
      <w:r>
        <w:t xml:space="preserve"> the key stages in the life cycle of an instrument, from drafting and lodgement through to </w:t>
      </w:r>
      <w:r w:rsidRPr="00C629FB">
        <w:t>parliamentary scrutiny, sunsetting and maintaining legislation on the Register. Its aim is</w:t>
      </w:r>
      <w:r>
        <w:t xml:space="preserve"> to support those involved in the process and</w:t>
      </w:r>
      <w:r w:rsidRPr="00C629FB">
        <w:t xml:space="preserve"> promote consistent practices that </w:t>
      </w:r>
      <w:r>
        <w:t>contribute to</w:t>
      </w:r>
      <w:r w:rsidRPr="00C629FB">
        <w:t xml:space="preserve"> legislation being clear, accurate, accessible and easy to use.</w:t>
      </w:r>
    </w:p>
    <w:p w14:paraId="7ECD2ED3" w14:textId="77777777" w:rsidR="00E86304" w:rsidRPr="00C629FB" w:rsidRDefault="00E86304" w:rsidP="00E86304">
      <w:pPr>
        <w:pStyle w:val="BodyNum"/>
        <w:numPr>
          <w:ilvl w:val="0"/>
          <w:numId w:val="0"/>
        </w:numPr>
      </w:pPr>
      <w:r w:rsidRPr="00C629FB">
        <w:t xml:space="preserve">As legislation, technology and publishing processes continue to evolve, </w:t>
      </w:r>
      <w:proofErr w:type="spellStart"/>
      <w:r w:rsidRPr="00C629FB">
        <w:t>OPC</w:t>
      </w:r>
      <w:proofErr w:type="spellEnd"/>
      <w:r w:rsidRPr="00C629FB">
        <w:t xml:space="preserve"> remains committed to providing guidance that is practical, current and responsive to the needs of agencies.</w:t>
      </w:r>
    </w:p>
    <w:p w14:paraId="208A4C64" w14:textId="77777777" w:rsidR="00E86304" w:rsidRPr="00C629FB" w:rsidRDefault="00E86304" w:rsidP="00E86304">
      <w:pPr>
        <w:pStyle w:val="BodyNum"/>
        <w:numPr>
          <w:ilvl w:val="0"/>
          <w:numId w:val="0"/>
        </w:numPr>
      </w:pPr>
      <w:r w:rsidRPr="00C629FB">
        <w:t xml:space="preserve">Preparing and managing legislation is a shared responsibility. Whether you are making an instrument for the first time, overseeing its registration, preparing a compilation or maintaining legislation on the Register, these Handbooks are intended to support you in that work. If you need assistance in </w:t>
      </w:r>
      <w:r>
        <w:t>navigating</w:t>
      </w:r>
      <w:r w:rsidRPr="00C629FB">
        <w:t xml:space="preserve"> the guidance or understanding </w:t>
      </w:r>
      <w:r>
        <w:t>its contents</w:t>
      </w:r>
      <w:r w:rsidRPr="00C629FB">
        <w:t xml:space="preserve">, </w:t>
      </w:r>
      <w:proofErr w:type="spellStart"/>
      <w:r w:rsidRPr="00C629FB">
        <w:t>OPC</w:t>
      </w:r>
      <w:proofErr w:type="spellEnd"/>
      <w:r w:rsidRPr="00C629FB">
        <w:t xml:space="preserve"> is available to help.</w:t>
      </w:r>
    </w:p>
    <w:p w14:paraId="74A155FE" w14:textId="77777777" w:rsidR="00E86304" w:rsidRPr="00C629FB" w:rsidRDefault="00E86304" w:rsidP="00E86304">
      <w:pPr>
        <w:pStyle w:val="BodyNum"/>
        <w:numPr>
          <w:ilvl w:val="0"/>
          <w:numId w:val="0"/>
        </w:numPr>
      </w:pPr>
      <w:proofErr w:type="spellStart"/>
      <w:r w:rsidRPr="00C629FB">
        <w:t>OPC</w:t>
      </w:r>
      <w:r>
        <w:t>’</w:t>
      </w:r>
      <w:r w:rsidRPr="00C629FB">
        <w:t>s</w:t>
      </w:r>
      <w:proofErr w:type="spellEnd"/>
      <w:r w:rsidRPr="00C629FB">
        <w:t xml:space="preserve"> mission is to provide clear, effective and accessible Commonwealth law for all Australians, and we look forward to continuing to work with </w:t>
      </w:r>
      <w:r>
        <w:t>you</w:t>
      </w:r>
      <w:r w:rsidRPr="00C629FB">
        <w:t xml:space="preserve"> to </w:t>
      </w:r>
      <w:r>
        <w:t>achieve</w:t>
      </w:r>
      <w:r w:rsidRPr="00C629FB">
        <w:t xml:space="preserve"> that goal.</w:t>
      </w:r>
    </w:p>
    <w:bookmarkEnd w:id="2"/>
    <w:p w14:paraId="6C6CDDEB" w14:textId="77777777" w:rsidR="00E86304" w:rsidRPr="008A44A2" w:rsidRDefault="00E86304" w:rsidP="00E86304">
      <w:pPr>
        <w:pStyle w:val="Body"/>
      </w:pPr>
      <w:r w:rsidRPr="008A44A2">
        <w:t>Yours sincerely</w:t>
      </w:r>
    </w:p>
    <w:p w14:paraId="278A68E6" w14:textId="77777777" w:rsidR="00E86304" w:rsidRPr="008A44A2" w:rsidRDefault="00E86304" w:rsidP="00E86304">
      <w:pPr>
        <w:pStyle w:val="Body"/>
      </w:pPr>
      <w:r w:rsidRPr="008A44A2">
        <w:rPr>
          <w:noProof/>
        </w:rPr>
        <mc:AlternateContent>
          <mc:Choice Requires="wpi">
            <w:drawing>
              <wp:anchor distT="0" distB="0" distL="114300" distR="114300" simplePos="0" relativeHeight="251659264" behindDoc="0" locked="0" layoutInCell="1" allowOverlap="1" wp14:anchorId="4EDC6313" wp14:editId="77D1BCB2">
                <wp:simplePos x="0" y="0"/>
                <wp:positionH relativeFrom="column">
                  <wp:posOffset>-13648</wp:posOffset>
                </wp:positionH>
                <wp:positionV relativeFrom="paragraph">
                  <wp:posOffset>92132</wp:posOffset>
                </wp:positionV>
                <wp:extent cx="809554" cy="447485"/>
                <wp:effectExtent l="57150" t="38100" r="10160" b="48260"/>
                <wp:wrapNone/>
                <wp:docPr id="9" name="Ink 9" descr="Signature of Meredith Leigh, First Parliamentary Counsel"/>
                <wp:cNvGraphicFramePr/>
                <a:graphic xmlns:a="http://schemas.openxmlformats.org/drawingml/2006/main">
                  <a:graphicData uri="http://schemas.microsoft.com/office/word/2010/wordprocessingInk">
                    <w14:contentPart bwMode="auto" r:id="rId9">
                      <w14:nvContentPartPr>
                        <w14:cNvContentPartPr/>
                      </w14:nvContentPartPr>
                      <w14:xfrm>
                        <a:off x="0" y="0"/>
                        <a:ext cx="809554" cy="447485"/>
                      </w14:xfrm>
                    </w14:contentPart>
                  </a:graphicData>
                </a:graphic>
              </wp:anchor>
            </w:drawing>
          </mc:Choice>
          <mc:Fallback>
            <w:pict>
              <v:shapetype w14:anchorId="6D43521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9" o:spid="_x0000_s1026" type="#_x0000_t75" alt="Signature of Meredith Leigh, First Parliamentary Counsel" style="position:absolute;margin-left:-1.75pt;margin-top:6.55pt;width:65.2pt;height:36.7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">
                <v:imagedata r:id="rId10" o:title="Signature of Meredith Leigh, First Parliamentary Counsel"/>
              </v:shape>
            </w:pict>
          </mc:Fallback>
        </mc:AlternateContent>
      </w:r>
    </w:p>
    <w:p w14:paraId="03E70205" w14:textId="77777777" w:rsidR="00E86304" w:rsidRPr="008A44A2" w:rsidRDefault="00E86304" w:rsidP="00E86304">
      <w:pPr>
        <w:pStyle w:val="Body"/>
      </w:pPr>
    </w:p>
    <w:p w14:paraId="504531B6" w14:textId="77777777" w:rsidR="00E86304" w:rsidRPr="008A44A2" w:rsidRDefault="00E86304" w:rsidP="00E86304">
      <w:pPr>
        <w:pStyle w:val="Blocks"/>
      </w:pPr>
      <w:r w:rsidRPr="008A44A2">
        <w:t>Meredith Leigh</w:t>
      </w:r>
    </w:p>
    <w:p w14:paraId="0991004B" w14:textId="77777777" w:rsidR="00E86304" w:rsidRPr="008A44A2" w:rsidRDefault="00E86304" w:rsidP="00E86304">
      <w:pPr>
        <w:pStyle w:val="Blocks"/>
      </w:pPr>
      <w:r w:rsidRPr="008A44A2">
        <w:t>First Parliamentary Counsel</w:t>
      </w:r>
    </w:p>
    <w:p w14:paraId="1AC4E350" w14:textId="77777777" w:rsidR="00E86304" w:rsidRDefault="00E86304" w:rsidP="00E86304">
      <w:pPr>
        <w:pStyle w:val="Blocks"/>
      </w:pPr>
      <w:r>
        <w:t>15 September 2026</w:t>
      </w:r>
    </w:p>
    <w:p w14:paraId="0E513208" w14:textId="77777777" w:rsidR="00E86304" w:rsidRDefault="00E86304" w:rsidP="00E86304">
      <w:pPr>
        <w:spacing w:line="240" w:lineRule="auto"/>
        <w:rPr>
          <w:rFonts w:ascii="Arial" w:eastAsia="Times New Roman" w:hAnsi="Arial" w:cs="Times New Roman"/>
          <w:b/>
          <w:kern w:val="28"/>
          <w:sz w:val="28"/>
          <w:lang w:eastAsia="en-AU"/>
        </w:rPr>
      </w:pPr>
      <w:r>
        <w:br w:type="page"/>
      </w:r>
    </w:p>
    <w:p w14:paraId="5BF918B3" w14:textId="77777777" w:rsidR="00E86304" w:rsidRPr="00FD274F" w:rsidRDefault="00E86304" w:rsidP="00E86304">
      <w:pPr>
        <w:pStyle w:val="Head2"/>
        <w:pageBreakBefore/>
      </w:pPr>
      <w:bookmarkStart w:id="3" w:name="_Toc238117518"/>
      <w:r w:rsidRPr="00FD274F">
        <w:lastRenderedPageBreak/>
        <w:t>About this Handbook</w:t>
      </w:r>
      <w:bookmarkEnd w:id="3"/>
    </w:p>
    <w:p w14:paraId="7E3562EA" w14:textId="77777777" w:rsidR="00E86304" w:rsidRPr="00FD274F" w:rsidRDefault="00E86304" w:rsidP="00E86304">
      <w:pPr>
        <w:pStyle w:val="Body"/>
      </w:pPr>
      <w:r w:rsidRPr="00FD274F">
        <w:t>The purpose of this Handbook is to provide information to help Commonwealth rule</w:t>
      </w:r>
      <w:r>
        <w:noBreakHyphen/>
      </w:r>
      <w:r w:rsidRPr="00FD274F">
        <w:t xml:space="preserve">makers and agencies make and manage legislative and notifiable instruments efficiently, effectively and in accordance with the relevant law. It should be read in conjunction with the following documents, as available on the </w:t>
      </w:r>
      <w:r>
        <w:t>Federal Register of Legislation</w:t>
      </w:r>
      <w:r w:rsidRPr="00752D2B">
        <w:t xml:space="preserve"> </w:t>
      </w:r>
      <w:r>
        <w:t>(</w:t>
      </w:r>
      <w:hyperlink r:id="rId11" w:history="1">
        <w:r w:rsidRPr="00752D2B">
          <w:rPr>
            <w:rStyle w:val="Hyperlink"/>
          </w:rPr>
          <w:t>https://www.legislation.gov.au</w:t>
        </w:r>
      </w:hyperlink>
      <w:r>
        <w:rPr>
          <w:rStyle w:val="Hyperlink"/>
        </w:rPr>
        <w:t>)</w:t>
      </w:r>
      <w:r w:rsidRPr="00FD274F">
        <w:t>:</w:t>
      </w:r>
    </w:p>
    <w:p w14:paraId="6120ADAE" w14:textId="77777777" w:rsidR="00E86304" w:rsidRPr="00FD274F" w:rsidRDefault="00E86304" w:rsidP="00E86304">
      <w:pPr>
        <w:pStyle w:val="BodyPara"/>
      </w:pPr>
      <w:bookmarkStart w:id="4" w:name="_Ref184283412"/>
      <w:r w:rsidRPr="00FD274F">
        <w:t xml:space="preserve">the </w:t>
      </w:r>
      <w:hyperlink r:id="rId12" w:history="1">
        <w:r w:rsidRPr="00752D2B">
          <w:rPr>
            <w:rStyle w:val="Hyperlink"/>
            <w:i/>
          </w:rPr>
          <w:t>Legislation Act 2003</w:t>
        </w:r>
        <w:r w:rsidRPr="00752D2B">
          <w:rPr>
            <w:rStyle w:val="Hyperlink"/>
          </w:rPr>
          <w:t xml:space="preserve"> (the LA)</w:t>
        </w:r>
      </w:hyperlink>
      <w:r>
        <w:rPr>
          <w:rStyle w:val="Hyperlink"/>
        </w:rPr>
        <w:t>;</w:t>
      </w:r>
      <w:bookmarkEnd w:id="4"/>
    </w:p>
    <w:p w14:paraId="3DB3E406" w14:textId="77777777" w:rsidR="00E86304" w:rsidRPr="00FD274F" w:rsidRDefault="00E86304" w:rsidP="00E86304">
      <w:pPr>
        <w:pStyle w:val="BodyPara"/>
      </w:pPr>
      <w:r w:rsidRPr="00FD274F">
        <w:t>th</w:t>
      </w:r>
      <w:r w:rsidRPr="00752D2B">
        <w:t xml:space="preserve">e </w:t>
      </w:r>
      <w:hyperlink r:id="rId13" w:history="1">
        <w:r w:rsidRPr="00752D2B">
          <w:rPr>
            <w:rStyle w:val="Hyperlink"/>
            <w:i/>
          </w:rPr>
          <w:t>Legislation (Exemptions and Other Matters) Regulation 2015 (</w:t>
        </w:r>
        <w:proofErr w:type="spellStart"/>
        <w:r w:rsidRPr="00752D2B">
          <w:rPr>
            <w:rStyle w:val="Hyperlink"/>
            <w:i/>
          </w:rPr>
          <w:t>LEOMR</w:t>
        </w:r>
        <w:proofErr w:type="spellEnd"/>
        <w:r w:rsidRPr="00752D2B">
          <w:rPr>
            <w:rStyle w:val="Hyperlink"/>
            <w:i/>
          </w:rPr>
          <w:t>)</w:t>
        </w:r>
      </w:hyperlink>
      <w:r>
        <w:rPr>
          <w:rStyle w:val="Hyperlink"/>
        </w:rPr>
        <w:t>;</w:t>
      </w:r>
    </w:p>
    <w:p w14:paraId="393F7EAA" w14:textId="77777777" w:rsidR="00E86304" w:rsidRPr="00FD274F" w:rsidRDefault="00E86304" w:rsidP="00E86304">
      <w:pPr>
        <w:pStyle w:val="BodyPara"/>
      </w:pPr>
      <w:r w:rsidRPr="00FD274F">
        <w:t>the</w:t>
      </w:r>
      <w:r>
        <w:t xml:space="preserve"> </w:t>
      </w:r>
      <w:hyperlink r:id="rId14" w:history="1">
        <w:r w:rsidRPr="00B004D8">
          <w:rPr>
            <w:rStyle w:val="Hyperlink"/>
            <w:i/>
            <w:iCs/>
          </w:rPr>
          <w:t>Legislation Rules 2026</w:t>
        </w:r>
        <w:r w:rsidRPr="006C150C">
          <w:rPr>
            <w:rStyle w:val="Hyperlink"/>
            <w:i/>
            <w:iCs/>
          </w:rPr>
          <w:t xml:space="preserve"> </w:t>
        </w:r>
        <w:r w:rsidRPr="006C150C">
          <w:rPr>
            <w:rStyle w:val="Hyperlink"/>
          </w:rPr>
          <w:t>(the LR)</w:t>
        </w:r>
      </w:hyperlink>
      <w:r w:rsidRPr="00625FF9">
        <w:rPr>
          <w:rStyle w:val="Hyperlink"/>
        </w:rPr>
        <w:t>;</w:t>
      </w:r>
    </w:p>
    <w:p w14:paraId="53EB1A58" w14:textId="77777777" w:rsidR="00E86304" w:rsidRPr="00433C0A" w:rsidRDefault="00E86304" w:rsidP="00E86304">
      <w:pPr>
        <w:pStyle w:val="BodyPara"/>
        <w:rPr>
          <w:rStyle w:val="Hyperlink"/>
          <w:color w:val="auto"/>
        </w:rPr>
      </w:pPr>
      <w:r w:rsidRPr="00433C0A">
        <w:t xml:space="preserve">the </w:t>
      </w:r>
      <w:hyperlink r:id="rId15" w:history="1">
        <w:r w:rsidRPr="00757790">
          <w:rPr>
            <w:rStyle w:val="Hyperlink"/>
            <w:i/>
          </w:rPr>
          <w:t>Legal Services Directions 2025</w:t>
        </w:r>
      </w:hyperlink>
      <w:r w:rsidRPr="00752D2B">
        <w:rPr>
          <w:rStyle w:val="Hyperlink"/>
          <w:color w:val="auto"/>
        </w:rPr>
        <w:t>.</w:t>
      </w:r>
    </w:p>
    <w:p w14:paraId="7D5E92F5" w14:textId="77777777" w:rsidR="00E86304" w:rsidRPr="00FD274F" w:rsidRDefault="00E86304" w:rsidP="00E86304">
      <w:pPr>
        <w:pStyle w:val="Body"/>
      </w:pPr>
      <w:r w:rsidRPr="00FD274F">
        <w:t xml:space="preserve">Questions and comments about the current Handbook </w:t>
      </w:r>
      <w:r>
        <w:t xml:space="preserve">are welcome at any time and </w:t>
      </w:r>
      <w:r w:rsidRPr="00FD274F">
        <w:t xml:space="preserve">should be emailed to </w:t>
      </w:r>
      <w:hyperlink r:id="rId16" w:history="1">
        <w:r w:rsidRPr="00E8267D">
          <w:rPr>
            <w:rStyle w:val="Hyperlink"/>
            <w:rFonts w:eastAsiaTheme="minorHAnsi"/>
            <w:szCs w:val="24"/>
            <w:lang w:eastAsia="en-US"/>
          </w:rPr>
          <w:t>lodge@legislation.gov.au</w:t>
        </w:r>
      </w:hyperlink>
      <w:r w:rsidRPr="00E8267D">
        <w:rPr>
          <w:rFonts w:eastAsiaTheme="minorHAnsi"/>
          <w:color w:val="1F497D"/>
          <w:szCs w:val="24"/>
          <w:lang w:eastAsia="en-US"/>
        </w:rPr>
        <w:t>.</w:t>
      </w:r>
    </w:p>
    <w:p w14:paraId="3038BDE9" w14:textId="77777777" w:rsidR="00E86304" w:rsidRPr="00FD274F" w:rsidRDefault="00E86304" w:rsidP="00E86304">
      <w:pPr>
        <w:pStyle w:val="Head2"/>
        <w:pageBreakBefore/>
        <w:spacing w:before="0" w:after="240"/>
      </w:pPr>
      <w:bookmarkStart w:id="5" w:name="_Toc238117519"/>
      <w:r w:rsidRPr="00FD274F">
        <w:lastRenderedPageBreak/>
        <w:t>Contents</w:t>
      </w:r>
      <w:bookmarkEnd w:id="5"/>
    </w:p>
    <w:bookmarkStart w:id="6" w:name="Chapter1"/>
    <w:p w14:paraId="0BDA65B2" w14:textId="77777777" w:rsidR="00E86304" w:rsidRDefault="00E86304" w:rsidP="00E86304">
      <w:pPr>
        <w:pStyle w:val="TOC1"/>
        <w:rPr>
          <w:rFonts w:asciiTheme="minorHAnsi" w:eastAsiaTheme="minorEastAsia" w:hAnsiTheme="minorHAnsi" w:cstheme="minorBidi"/>
          <w:b w:val="0"/>
          <w:noProof/>
          <w:kern w:val="2"/>
          <w:sz w:val="24"/>
          <w:szCs w:val="24"/>
          <w14:ligatures w14:val="standardContextual"/>
        </w:rPr>
      </w:pPr>
      <w:r>
        <w:rPr>
          <w:sz w:val="24"/>
        </w:rPr>
        <w:fldChar w:fldCharType="begin"/>
      </w:r>
      <w:r>
        <w:rPr>
          <w:sz w:val="24"/>
        </w:rPr>
        <w:instrText xml:space="preserve"> TOC \o "1-3" \t "ActHead 4,4,ActHead 5,5,ActHead 6,6" </w:instrText>
      </w:r>
      <w:r>
        <w:rPr>
          <w:sz w:val="24"/>
        </w:rPr>
        <w:fldChar w:fldCharType="separate"/>
      </w:r>
      <w:r>
        <w:rPr>
          <w:noProof/>
        </w:rPr>
        <w:t>Part 1—Matters relevant to all instruments</w:t>
      </w:r>
      <w:r>
        <w:rPr>
          <w:noProof/>
        </w:rPr>
        <w:tab/>
      </w:r>
      <w:r>
        <w:rPr>
          <w:noProof/>
        </w:rPr>
        <w:fldChar w:fldCharType="begin"/>
      </w:r>
      <w:r>
        <w:rPr>
          <w:noProof/>
        </w:rPr>
        <w:instrText xml:space="preserve"> PAGEREF _Toc238117520 \h </w:instrText>
      </w:r>
      <w:r>
        <w:rPr>
          <w:noProof/>
        </w:rPr>
      </w:r>
      <w:r>
        <w:rPr>
          <w:noProof/>
        </w:rPr>
        <w:fldChar w:fldCharType="separate"/>
      </w:r>
      <w:r>
        <w:rPr>
          <w:noProof/>
        </w:rPr>
        <w:t>1</w:t>
      </w:r>
      <w:r>
        <w:rPr>
          <w:noProof/>
        </w:rPr>
        <w:fldChar w:fldCharType="end"/>
      </w:r>
    </w:p>
    <w:p w14:paraId="547C0D2B" w14:textId="77777777" w:rsidR="00E86304" w:rsidRDefault="00E86304" w:rsidP="00E86304">
      <w:pPr>
        <w:pStyle w:val="TOC2"/>
        <w:rPr>
          <w:rFonts w:asciiTheme="minorHAnsi" w:eastAsiaTheme="minorEastAsia" w:hAnsiTheme="minorHAnsi" w:cstheme="minorBidi"/>
          <w:b w:val="0"/>
          <w:noProof/>
          <w:kern w:val="2"/>
          <w:szCs w:val="24"/>
          <w14:ligatures w14:val="standardContextual"/>
        </w:rPr>
      </w:pPr>
      <w:r>
        <w:rPr>
          <w:noProof/>
        </w:rPr>
        <w:t>Chapter 1—Introduction</w:t>
      </w:r>
      <w:r>
        <w:rPr>
          <w:noProof/>
        </w:rPr>
        <w:tab/>
      </w:r>
      <w:r>
        <w:rPr>
          <w:noProof/>
        </w:rPr>
        <w:fldChar w:fldCharType="begin"/>
      </w:r>
      <w:r>
        <w:rPr>
          <w:noProof/>
        </w:rPr>
        <w:instrText xml:space="preserve"> PAGEREF _Toc238117521 \h </w:instrText>
      </w:r>
      <w:r>
        <w:rPr>
          <w:noProof/>
        </w:rPr>
      </w:r>
      <w:r>
        <w:rPr>
          <w:noProof/>
        </w:rPr>
        <w:fldChar w:fldCharType="separate"/>
      </w:r>
      <w:r>
        <w:rPr>
          <w:noProof/>
        </w:rPr>
        <w:t>1</w:t>
      </w:r>
      <w:r>
        <w:rPr>
          <w:noProof/>
        </w:rPr>
        <w:fldChar w:fldCharType="end"/>
      </w:r>
    </w:p>
    <w:p w14:paraId="36120A9B" w14:textId="77777777" w:rsidR="00E86304" w:rsidRDefault="00E86304" w:rsidP="00E86304">
      <w:pPr>
        <w:pStyle w:val="TOC3"/>
        <w:rPr>
          <w:rFonts w:asciiTheme="minorHAnsi" w:eastAsiaTheme="minorEastAsia" w:hAnsiTheme="minorHAnsi" w:cstheme="minorBidi"/>
          <w:b w:val="0"/>
          <w:noProof/>
          <w:kern w:val="2"/>
          <w:sz w:val="24"/>
          <w:szCs w:val="24"/>
          <w14:ligatures w14:val="standardContextual"/>
        </w:rPr>
      </w:pPr>
      <w:r>
        <w:rPr>
          <w:noProof/>
        </w:rPr>
        <w:t>Background</w:t>
      </w:r>
      <w:r>
        <w:rPr>
          <w:noProof/>
        </w:rPr>
        <w:tab/>
      </w:r>
      <w:r>
        <w:rPr>
          <w:noProof/>
        </w:rPr>
        <w:tab/>
      </w:r>
      <w:r>
        <w:rPr>
          <w:noProof/>
        </w:rPr>
        <w:fldChar w:fldCharType="begin"/>
      </w:r>
      <w:r>
        <w:rPr>
          <w:noProof/>
        </w:rPr>
        <w:instrText xml:space="preserve"> PAGEREF _Toc238117522 \h </w:instrText>
      </w:r>
      <w:r>
        <w:rPr>
          <w:noProof/>
        </w:rPr>
      </w:r>
      <w:r>
        <w:rPr>
          <w:noProof/>
        </w:rPr>
        <w:fldChar w:fldCharType="separate"/>
      </w:r>
      <w:r>
        <w:rPr>
          <w:noProof/>
        </w:rPr>
        <w:t>1</w:t>
      </w:r>
      <w:r>
        <w:rPr>
          <w:noProof/>
        </w:rPr>
        <w:fldChar w:fldCharType="end"/>
      </w:r>
    </w:p>
    <w:p w14:paraId="6D2DA9EF" w14:textId="77777777" w:rsidR="00E86304" w:rsidRDefault="00E86304" w:rsidP="00E86304">
      <w:pPr>
        <w:pStyle w:val="TOC3"/>
        <w:rPr>
          <w:rFonts w:asciiTheme="minorHAnsi" w:eastAsiaTheme="minorEastAsia" w:hAnsiTheme="minorHAnsi" w:cstheme="minorBidi"/>
          <w:b w:val="0"/>
          <w:noProof/>
          <w:kern w:val="2"/>
          <w:sz w:val="24"/>
          <w:szCs w:val="24"/>
          <w14:ligatures w14:val="standardContextual"/>
        </w:rPr>
      </w:pPr>
      <w:r>
        <w:rPr>
          <w:noProof/>
        </w:rPr>
        <w:t>The Legislative Instruments Act 2003 (the LIA)</w:t>
      </w:r>
      <w:r>
        <w:rPr>
          <w:noProof/>
        </w:rPr>
        <w:tab/>
      </w:r>
      <w:r>
        <w:rPr>
          <w:noProof/>
        </w:rPr>
        <w:fldChar w:fldCharType="begin"/>
      </w:r>
      <w:r>
        <w:rPr>
          <w:noProof/>
        </w:rPr>
        <w:instrText xml:space="preserve"> PAGEREF _Toc238117523 \h </w:instrText>
      </w:r>
      <w:r>
        <w:rPr>
          <w:noProof/>
        </w:rPr>
      </w:r>
      <w:r>
        <w:rPr>
          <w:noProof/>
        </w:rPr>
        <w:fldChar w:fldCharType="separate"/>
      </w:r>
      <w:r>
        <w:rPr>
          <w:noProof/>
        </w:rPr>
        <w:t>2</w:t>
      </w:r>
      <w:r>
        <w:rPr>
          <w:noProof/>
        </w:rPr>
        <w:fldChar w:fldCharType="end"/>
      </w:r>
    </w:p>
    <w:p w14:paraId="0BDD168F" w14:textId="77777777" w:rsidR="00E86304" w:rsidRDefault="00E86304" w:rsidP="00E86304">
      <w:pPr>
        <w:pStyle w:val="TOC3"/>
        <w:rPr>
          <w:rFonts w:asciiTheme="minorHAnsi" w:eastAsiaTheme="minorEastAsia" w:hAnsiTheme="minorHAnsi" w:cstheme="minorBidi"/>
          <w:b w:val="0"/>
          <w:noProof/>
          <w:kern w:val="2"/>
          <w:sz w:val="24"/>
          <w:szCs w:val="24"/>
          <w14:ligatures w14:val="standardContextual"/>
        </w:rPr>
      </w:pPr>
      <w:r>
        <w:rPr>
          <w:noProof/>
        </w:rPr>
        <w:t>The Legislation Act 2003 (the LA)</w:t>
      </w:r>
      <w:r>
        <w:rPr>
          <w:noProof/>
        </w:rPr>
        <w:tab/>
      </w:r>
      <w:r>
        <w:rPr>
          <w:noProof/>
        </w:rPr>
        <w:fldChar w:fldCharType="begin"/>
      </w:r>
      <w:r>
        <w:rPr>
          <w:noProof/>
        </w:rPr>
        <w:instrText xml:space="preserve"> PAGEREF _Toc238117524 \h </w:instrText>
      </w:r>
      <w:r>
        <w:rPr>
          <w:noProof/>
        </w:rPr>
      </w:r>
      <w:r>
        <w:rPr>
          <w:noProof/>
        </w:rPr>
        <w:fldChar w:fldCharType="separate"/>
      </w:r>
      <w:r>
        <w:rPr>
          <w:noProof/>
        </w:rPr>
        <w:t>2</w:t>
      </w:r>
      <w:r>
        <w:rPr>
          <w:noProof/>
        </w:rPr>
        <w:fldChar w:fldCharType="end"/>
      </w:r>
    </w:p>
    <w:p w14:paraId="3BB7329B" w14:textId="77777777" w:rsidR="00E86304" w:rsidRDefault="00E86304" w:rsidP="00E86304">
      <w:pPr>
        <w:pStyle w:val="TOC3"/>
        <w:rPr>
          <w:rFonts w:asciiTheme="minorHAnsi" w:eastAsiaTheme="minorEastAsia" w:hAnsiTheme="minorHAnsi" w:cstheme="minorBidi"/>
          <w:b w:val="0"/>
          <w:noProof/>
          <w:kern w:val="2"/>
          <w:sz w:val="24"/>
          <w:szCs w:val="24"/>
          <w14:ligatures w14:val="standardContextual"/>
        </w:rPr>
      </w:pPr>
      <w:r>
        <w:rPr>
          <w:noProof/>
        </w:rPr>
        <w:t>Sunsetting Review</w:t>
      </w:r>
      <w:r>
        <w:rPr>
          <w:noProof/>
        </w:rPr>
        <w:tab/>
      </w:r>
      <w:r>
        <w:rPr>
          <w:noProof/>
        </w:rPr>
        <w:fldChar w:fldCharType="begin"/>
      </w:r>
      <w:r>
        <w:rPr>
          <w:noProof/>
        </w:rPr>
        <w:instrText xml:space="preserve"> PAGEREF _Toc238117525 \h </w:instrText>
      </w:r>
      <w:r>
        <w:rPr>
          <w:noProof/>
        </w:rPr>
      </w:r>
      <w:r>
        <w:rPr>
          <w:noProof/>
        </w:rPr>
        <w:fldChar w:fldCharType="separate"/>
      </w:r>
      <w:r>
        <w:rPr>
          <w:noProof/>
        </w:rPr>
        <w:t>2</w:t>
      </w:r>
      <w:r>
        <w:rPr>
          <w:noProof/>
        </w:rPr>
        <w:fldChar w:fldCharType="end"/>
      </w:r>
    </w:p>
    <w:p w14:paraId="7E1D4929" w14:textId="77777777" w:rsidR="00E86304" w:rsidRDefault="00E86304" w:rsidP="00E86304">
      <w:pPr>
        <w:pStyle w:val="TOC3"/>
        <w:rPr>
          <w:rFonts w:asciiTheme="minorHAnsi" w:eastAsiaTheme="minorEastAsia" w:hAnsiTheme="minorHAnsi" w:cstheme="minorBidi"/>
          <w:b w:val="0"/>
          <w:noProof/>
          <w:kern w:val="2"/>
          <w:sz w:val="24"/>
          <w:szCs w:val="24"/>
          <w14:ligatures w14:val="standardContextual"/>
        </w:rPr>
      </w:pPr>
      <w:r>
        <w:rPr>
          <w:noProof/>
        </w:rPr>
        <w:t>Further statutory reviews</w:t>
      </w:r>
      <w:r>
        <w:rPr>
          <w:noProof/>
        </w:rPr>
        <w:tab/>
      </w:r>
      <w:r>
        <w:rPr>
          <w:noProof/>
        </w:rPr>
        <w:fldChar w:fldCharType="begin"/>
      </w:r>
      <w:r>
        <w:rPr>
          <w:noProof/>
        </w:rPr>
        <w:instrText xml:space="preserve"> PAGEREF _Toc238117526 \h </w:instrText>
      </w:r>
      <w:r>
        <w:rPr>
          <w:noProof/>
        </w:rPr>
      </w:r>
      <w:r>
        <w:rPr>
          <w:noProof/>
        </w:rPr>
        <w:fldChar w:fldCharType="separate"/>
      </w:r>
      <w:r>
        <w:rPr>
          <w:noProof/>
        </w:rPr>
        <w:t>3</w:t>
      </w:r>
      <w:r>
        <w:rPr>
          <w:noProof/>
        </w:rPr>
        <w:fldChar w:fldCharType="end"/>
      </w:r>
    </w:p>
    <w:p w14:paraId="448C9677" w14:textId="77777777" w:rsidR="00E86304" w:rsidRDefault="00E86304" w:rsidP="00E86304">
      <w:pPr>
        <w:pStyle w:val="TOC2"/>
        <w:rPr>
          <w:rFonts w:asciiTheme="minorHAnsi" w:eastAsiaTheme="minorEastAsia" w:hAnsiTheme="minorHAnsi" w:cstheme="minorBidi"/>
          <w:b w:val="0"/>
          <w:noProof/>
          <w:kern w:val="2"/>
          <w:szCs w:val="24"/>
          <w14:ligatures w14:val="standardContextual"/>
        </w:rPr>
      </w:pPr>
      <w:r>
        <w:rPr>
          <w:noProof/>
        </w:rPr>
        <w:t>Chapter 2—Key concepts</w:t>
      </w:r>
      <w:r>
        <w:rPr>
          <w:noProof/>
        </w:rPr>
        <w:tab/>
      </w:r>
      <w:r>
        <w:rPr>
          <w:noProof/>
        </w:rPr>
        <w:fldChar w:fldCharType="begin"/>
      </w:r>
      <w:r>
        <w:rPr>
          <w:noProof/>
        </w:rPr>
        <w:instrText xml:space="preserve"> PAGEREF _Toc238117527 \h </w:instrText>
      </w:r>
      <w:r>
        <w:rPr>
          <w:noProof/>
        </w:rPr>
      </w:r>
      <w:r>
        <w:rPr>
          <w:noProof/>
        </w:rPr>
        <w:fldChar w:fldCharType="separate"/>
      </w:r>
      <w:r>
        <w:rPr>
          <w:noProof/>
        </w:rPr>
        <w:t>4</w:t>
      </w:r>
      <w:r>
        <w:rPr>
          <w:noProof/>
        </w:rPr>
        <w:fldChar w:fldCharType="end"/>
      </w:r>
    </w:p>
    <w:p w14:paraId="607534B6" w14:textId="77777777" w:rsidR="00E86304" w:rsidRDefault="00E86304" w:rsidP="00E86304">
      <w:pPr>
        <w:pStyle w:val="TOC3"/>
        <w:rPr>
          <w:rFonts w:asciiTheme="minorHAnsi" w:eastAsiaTheme="minorEastAsia" w:hAnsiTheme="minorHAnsi" w:cstheme="minorBidi"/>
          <w:b w:val="0"/>
          <w:noProof/>
          <w:kern w:val="2"/>
          <w:sz w:val="24"/>
          <w:szCs w:val="24"/>
          <w14:ligatures w14:val="standardContextual"/>
        </w:rPr>
      </w:pPr>
      <w:r>
        <w:rPr>
          <w:noProof/>
        </w:rPr>
        <w:t>Who is a rule</w:t>
      </w:r>
      <w:r>
        <w:rPr>
          <w:noProof/>
        </w:rPr>
        <w:noBreakHyphen/>
        <w:t>maker?</w:t>
      </w:r>
      <w:r>
        <w:rPr>
          <w:noProof/>
        </w:rPr>
        <w:tab/>
      </w:r>
      <w:r>
        <w:rPr>
          <w:noProof/>
        </w:rPr>
        <w:fldChar w:fldCharType="begin"/>
      </w:r>
      <w:r>
        <w:rPr>
          <w:noProof/>
        </w:rPr>
        <w:instrText xml:space="preserve"> PAGEREF _Toc238117528 \h </w:instrText>
      </w:r>
      <w:r>
        <w:rPr>
          <w:noProof/>
        </w:rPr>
      </w:r>
      <w:r>
        <w:rPr>
          <w:noProof/>
        </w:rPr>
        <w:fldChar w:fldCharType="separate"/>
      </w:r>
      <w:r>
        <w:rPr>
          <w:noProof/>
        </w:rPr>
        <w:t>4</w:t>
      </w:r>
      <w:r>
        <w:rPr>
          <w:noProof/>
        </w:rPr>
        <w:fldChar w:fldCharType="end"/>
      </w:r>
    </w:p>
    <w:p w14:paraId="0B741006" w14:textId="77777777" w:rsidR="00E86304" w:rsidRDefault="00E86304" w:rsidP="00E86304">
      <w:pPr>
        <w:pStyle w:val="TOC3"/>
        <w:rPr>
          <w:rFonts w:asciiTheme="minorHAnsi" w:eastAsiaTheme="minorEastAsia" w:hAnsiTheme="minorHAnsi" w:cstheme="minorBidi"/>
          <w:b w:val="0"/>
          <w:noProof/>
          <w:kern w:val="2"/>
          <w:sz w:val="24"/>
          <w:szCs w:val="24"/>
          <w14:ligatures w14:val="standardContextual"/>
        </w:rPr>
      </w:pPr>
      <w:r>
        <w:rPr>
          <w:noProof/>
        </w:rPr>
        <w:t>What is an instrument?</w:t>
      </w:r>
      <w:r>
        <w:rPr>
          <w:noProof/>
        </w:rPr>
        <w:tab/>
      </w:r>
      <w:r>
        <w:rPr>
          <w:noProof/>
        </w:rPr>
        <w:fldChar w:fldCharType="begin"/>
      </w:r>
      <w:r>
        <w:rPr>
          <w:noProof/>
        </w:rPr>
        <w:instrText xml:space="preserve"> PAGEREF _Toc238117529 \h </w:instrText>
      </w:r>
      <w:r>
        <w:rPr>
          <w:noProof/>
        </w:rPr>
      </w:r>
      <w:r>
        <w:rPr>
          <w:noProof/>
        </w:rPr>
        <w:fldChar w:fldCharType="separate"/>
      </w:r>
      <w:r>
        <w:rPr>
          <w:noProof/>
        </w:rPr>
        <w:t>5</w:t>
      </w:r>
      <w:r>
        <w:rPr>
          <w:noProof/>
        </w:rPr>
        <w:fldChar w:fldCharType="end"/>
      </w:r>
    </w:p>
    <w:p w14:paraId="7E976ADA" w14:textId="77777777" w:rsidR="00E86304" w:rsidRDefault="00E86304" w:rsidP="00E86304">
      <w:pPr>
        <w:pStyle w:val="TOC3"/>
        <w:rPr>
          <w:rFonts w:asciiTheme="minorHAnsi" w:eastAsiaTheme="minorEastAsia" w:hAnsiTheme="minorHAnsi" w:cstheme="minorBidi"/>
          <w:b w:val="0"/>
          <w:noProof/>
          <w:kern w:val="2"/>
          <w:sz w:val="24"/>
          <w:szCs w:val="24"/>
          <w14:ligatures w14:val="standardContextual"/>
        </w:rPr>
      </w:pPr>
      <w:r>
        <w:rPr>
          <w:noProof/>
        </w:rPr>
        <w:t>If there is uncertainty about the status of an instrument</w:t>
      </w:r>
      <w:r>
        <w:rPr>
          <w:noProof/>
        </w:rPr>
        <w:tab/>
      </w:r>
      <w:r>
        <w:rPr>
          <w:noProof/>
        </w:rPr>
        <w:fldChar w:fldCharType="begin"/>
      </w:r>
      <w:r>
        <w:rPr>
          <w:noProof/>
        </w:rPr>
        <w:instrText xml:space="preserve"> PAGEREF _Toc238117530 \h </w:instrText>
      </w:r>
      <w:r>
        <w:rPr>
          <w:noProof/>
        </w:rPr>
      </w:r>
      <w:r>
        <w:rPr>
          <w:noProof/>
        </w:rPr>
        <w:fldChar w:fldCharType="separate"/>
      </w:r>
      <w:r>
        <w:rPr>
          <w:noProof/>
        </w:rPr>
        <w:t>8</w:t>
      </w:r>
      <w:r>
        <w:rPr>
          <w:noProof/>
        </w:rPr>
        <w:fldChar w:fldCharType="end"/>
      </w:r>
    </w:p>
    <w:p w14:paraId="11EB21A3" w14:textId="77777777" w:rsidR="00E86304" w:rsidRDefault="00E86304" w:rsidP="00E86304">
      <w:pPr>
        <w:pStyle w:val="TOC3"/>
        <w:rPr>
          <w:rFonts w:asciiTheme="minorHAnsi" w:eastAsiaTheme="minorEastAsia" w:hAnsiTheme="minorHAnsi" w:cstheme="minorBidi"/>
          <w:b w:val="0"/>
          <w:noProof/>
          <w:kern w:val="2"/>
          <w:sz w:val="24"/>
          <w:szCs w:val="24"/>
          <w14:ligatures w14:val="standardContextual"/>
        </w:rPr>
      </w:pPr>
      <w:r>
        <w:rPr>
          <w:noProof/>
        </w:rPr>
        <w:t>What is the Federal Register of Legislation?</w:t>
      </w:r>
      <w:r>
        <w:rPr>
          <w:noProof/>
        </w:rPr>
        <w:tab/>
      </w:r>
      <w:r>
        <w:rPr>
          <w:noProof/>
        </w:rPr>
        <w:fldChar w:fldCharType="begin"/>
      </w:r>
      <w:r>
        <w:rPr>
          <w:noProof/>
        </w:rPr>
        <w:instrText xml:space="preserve"> PAGEREF _Toc238117531 \h </w:instrText>
      </w:r>
      <w:r>
        <w:rPr>
          <w:noProof/>
        </w:rPr>
      </w:r>
      <w:r>
        <w:rPr>
          <w:noProof/>
        </w:rPr>
        <w:fldChar w:fldCharType="separate"/>
      </w:r>
      <w:r>
        <w:rPr>
          <w:noProof/>
        </w:rPr>
        <w:t>9</w:t>
      </w:r>
      <w:r>
        <w:rPr>
          <w:noProof/>
        </w:rPr>
        <w:fldChar w:fldCharType="end"/>
      </w:r>
    </w:p>
    <w:p w14:paraId="0476282F" w14:textId="77777777" w:rsidR="00E86304" w:rsidRDefault="00E86304" w:rsidP="00E86304">
      <w:pPr>
        <w:pStyle w:val="TOC2"/>
        <w:rPr>
          <w:rFonts w:asciiTheme="minorHAnsi" w:eastAsiaTheme="minorEastAsia" w:hAnsiTheme="minorHAnsi" w:cstheme="minorBidi"/>
          <w:b w:val="0"/>
          <w:noProof/>
          <w:kern w:val="2"/>
          <w:szCs w:val="24"/>
          <w14:ligatures w14:val="standardContextual"/>
        </w:rPr>
      </w:pPr>
      <w:r w:rsidRPr="00F12F75">
        <w:rPr>
          <w:rFonts w:cs="Arial"/>
          <w:noProof/>
        </w:rPr>
        <w:t>Chapter 3—Drafting and interpretation of instruments</w:t>
      </w:r>
      <w:r>
        <w:rPr>
          <w:noProof/>
        </w:rPr>
        <w:tab/>
      </w:r>
      <w:r>
        <w:rPr>
          <w:noProof/>
        </w:rPr>
        <w:fldChar w:fldCharType="begin"/>
      </w:r>
      <w:r>
        <w:rPr>
          <w:noProof/>
        </w:rPr>
        <w:instrText xml:space="preserve"> PAGEREF _Toc238117532 \h </w:instrText>
      </w:r>
      <w:r>
        <w:rPr>
          <w:noProof/>
        </w:rPr>
      </w:r>
      <w:r>
        <w:rPr>
          <w:noProof/>
        </w:rPr>
        <w:fldChar w:fldCharType="separate"/>
      </w:r>
      <w:r>
        <w:rPr>
          <w:noProof/>
        </w:rPr>
        <w:t>11</w:t>
      </w:r>
      <w:r>
        <w:rPr>
          <w:noProof/>
        </w:rPr>
        <w:fldChar w:fldCharType="end"/>
      </w:r>
    </w:p>
    <w:p w14:paraId="43F04EDE" w14:textId="77777777" w:rsidR="00E86304" w:rsidRDefault="00E86304" w:rsidP="00E86304">
      <w:pPr>
        <w:pStyle w:val="TOC3"/>
        <w:rPr>
          <w:rFonts w:asciiTheme="minorHAnsi" w:eastAsiaTheme="minorEastAsia" w:hAnsiTheme="minorHAnsi" w:cstheme="minorBidi"/>
          <w:b w:val="0"/>
          <w:noProof/>
          <w:kern w:val="2"/>
          <w:sz w:val="24"/>
          <w:szCs w:val="24"/>
          <w14:ligatures w14:val="standardContextual"/>
        </w:rPr>
      </w:pPr>
      <w:r>
        <w:rPr>
          <w:noProof/>
        </w:rPr>
        <w:t>Drafting of legislative instruments</w:t>
      </w:r>
      <w:r>
        <w:rPr>
          <w:noProof/>
        </w:rPr>
        <w:tab/>
      </w:r>
      <w:r>
        <w:rPr>
          <w:noProof/>
        </w:rPr>
        <w:fldChar w:fldCharType="begin"/>
      </w:r>
      <w:r>
        <w:rPr>
          <w:noProof/>
        </w:rPr>
        <w:instrText xml:space="preserve"> PAGEREF _Toc238117533 \h </w:instrText>
      </w:r>
      <w:r>
        <w:rPr>
          <w:noProof/>
        </w:rPr>
      </w:r>
      <w:r>
        <w:rPr>
          <w:noProof/>
        </w:rPr>
        <w:fldChar w:fldCharType="separate"/>
      </w:r>
      <w:r>
        <w:rPr>
          <w:noProof/>
        </w:rPr>
        <w:t>11</w:t>
      </w:r>
      <w:r>
        <w:rPr>
          <w:noProof/>
        </w:rPr>
        <w:fldChar w:fldCharType="end"/>
      </w:r>
    </w:p>
    <w:p w14:paraId="750E7289" w14:textId="77777777" w:rsidR="00E86304" w:rsidRDefault="00E86304" w:rsidP="00E86304">
      <w:pPr>
        <w:pStyle w:val="TOC3"/>
        <w:rPr>
          <w:rFonts w:asciiTheme="minorHAnsi" w:eastAsiaTheme="minorEastAsia" w:hAnsiTheme="minorHAnsi" w:cstheme="minorBidi"/>
          <w:b w:val="0"/>
          <w:noProof/>
          <w:kern w:val="2"/>
          <w:sz w:val="24"/>
          <w:szCs w:val="24"/>
          <w14:ligatures w14:val="standardContextual"/>
        </w:rPr>
      </w:pPr>
      <w:r>
        <w:rPr>
          <w:noProof/>
        </w:rPr>
        <w:t>General principles for interpretation of instruments</w:t>
      </w:r>
      <w:r>
        <w:rPr>
          <w:noProof/>
        </w:rPr>
        <w:tab/>
      </w:r>
      <w:r>
        <w:rPr>
          <w:noProof/>
        </w:rPr>
        <w:fldChar w:fldCharType="begin"/>
      </w:r>
      <w:r>
        <w:rPr>
          <w:noProof/>
        </w:rPr>
        <w:instrText xml:space="preserve"> PAGEREF _Toc238117534 \h </w:instrText>
      </w:r>
      <w:r>
        <w:rPr>
          <w:noProof/>
        </w:rPr>
      </w:r>
      <w:r>
        <w:rPr>
          <w:noProof/>
        </w:rPr>
        <w:fldChar w:fldCharType="separate"/>
      </w:r>
      <w:r>
        <w:rPr>
          <w:noProof/>
        </w:rPr>
        <w:t>12</w:t>
      </w:r>
      <w:r>
        <w:rPr>
          <w:noProof/>
        </w:rPr>
        <w:fldChar w:fldCharType="end"/>
      </w:r>
    </w:p>
    <w:p w14:paraId="464CF472" w14:textId="77777777" w:rsidR="00E86304" w:rsidRDefault="00E86304" w:rsidP="00E86304">
      <w:pPr>
        <w:pStyle w:val="TOC3"/>
        <w:rPr>
          <w:rFonts w:asciiTheme="minorHAnsi" w:eastAsiaTheme="minorEastAsia" w:hAnsiTheme="minorHAnsi" w:cstheme="minorBidi"/>
          <w:b w:val="0"/>
          <w:noProof/>
          <w:kern w:val="2"/>
          <w:sz w:val="24"/>
          <w:szCs w:val="24"/>
          <w14:ligatures w14:val="standardContextual"/>
        </w:rPr>
      </w:pPr>
      <w:r>
        <w:rPr>
          <w:noProof/>
        </w:rPr>
        <w:t>What should be included in an instrument</w:t>
      </w:r>
      <w:r>
        <w:rPr>
          <w:noProof/>
        </w:rPr>
        <w:tab/>
      </w:r>
      <w:r>
        <w:rPr>
          <w:noProof/>
        </w:rPr>
        <w:fldChar w:fldCharType="begin"/>
      </w:r>
      <w:r>
        <w:rPr>
          <w:noProof/>
        </w:rPr>
        <w:instrText xml:space="preserve"> PAGEREF _Toc238117535 \h </w:instrText>
      </w:r>
      <w:r>
        <w:rPr>
          <w:noProof/>
        </w:rPr>
      </w:r>
      <w:r>
        <w:rPr>
          <w:noProof/>
        </w:rPr>
        <w:fldChar w:fldCharType="separate"/>
      </w:r>
      <w:r>
        <w:rPr>
          <w:noProof/>
        </w:rPr>
        <w:t>12</w:t>
      </w:r>
      <w:r>
        <w:rPr>
          <w:noProof/>
        </w:rPr>
        <w:fldChar w:fldCharType="end"/>
      </w:r>
    </w:p>
    <w:p w14:paraId="114A8ADD" w14:textId="77777777" w:rsidR="00E86304" w:rsidRDefault="00E86304" w:rsidP="00E86304">
      <w:pPr>
        <w:pStyle w:val="TOC3"/>
        <w:rPr>
          <w:rFonts w:asciiTheme="minorHAnsi" w:eastAsiaTheme="minorEastAsia" w:hAnsiTheme="minorHAnsi" w:cstheme="minorBidi"/>
          <w:b w:val="0"/>
          <w:noProof/>
          <w:kern w:val="2"/>
          <w:sz w:val="24"/>
          <w:szCs w:val="24"/>
          <w14:ligatures w14:val="standardContextual"/>
        </w:rPr>
      </w:pPr>
      <w:r>
        <w:rPr>
          <w:noProof/>
        </w:rPr>
        <w:t>Default rules on commencement of instrument or provision</w:t>
      </w:r>
      <w:r>
        <w:rPr>
          <w:noProof/>
        </w:rPr>
        <w:tab/>
      </w:r>
      <w:r>
        <w:rPr>
          <w:noProof/>
        </w:rPr>
        <w:fldChar w:fldCharType="begin"/>
      </w:r>
      <w:r>
        <w:rPr>
          <w:noProof/>
        </w:rPr>
        <w:instrText xml:space="preserve"> PAGEREF _Toc238117536 \h </w:instrText>
      </w:r>
      <w:r>
        <w:rPr>
          <w:noProof/>
        </w:rPr>
      </w:r>
      <w:r>
        <w:rPr>
          <w:noProof/>
        </w:rPr>
        <w:fldChar w:fldCharType="separate"/>
      </w:r>
      <w:r>
        <w:rPr>
          <w:noProof/>
        </w:rPr>
        <w:t>18</w:t>
      </w:r>
      <w:r>
        <w:rPr>
          <w:noProof/>
        </w:rPr>
        <w:fldChar w:fldCharType="end"/>
      </w:r>
    </w:p>
    <w:p w14:paraId="73BE04C4" w14:textId="77777777" w:rsidR="00E86304" w:rsidRDefault="00E86304" w:rsidP="00E86304">
      <w:pPr>
        <w:pStyle w:val="TOC3"/>
        <w:rPr>
          <w:rFonts w:asciiTheme="minorHAnsi" w:eastAsiaTheme="minorEastAsia" w:hAnsiTheme="minorHAnsi" w:cstheme="minorBidi"/>
          <w:b w:val="0"/>
          <w:noProof/>
          <w:kern w:val="2"/>
          <w:sz w:val="24"/>
          <w:szCs w:val="24"/>
          <w14:ligatures w14:val="standardContextual"/>
        </w:rPr>
      </w:pPr>
      <w:r>
        <w:rPr>
          <w:noProof/>
        </w:rPr>
        <w:t>Default rules on amendment or repeal</w:t>
      </w:r>
      <w:r>
        <w:rPr>
          <w:noProof/>
        </w:rPr>
        <w:tab/>
      </w:r>
      <w:r>
        <w:rPr>
          <w:noProof/>
        </w:rPr>
        <w:fldChar w:fldCharType="begin"/>
      </w:r>
      <w:r>
        <w:rPr>
          <w:noProof/>
        </w:rPr>
        <w:instrText xml:space="preserve"> PAGEREF _Toc238117537 \h </w:instrText>
      </w:r>
      <w:r>
        <w:rPr>
          <w:noProof/>
        </w:rPr>
      </w:r>
      <w:r>
        <w:rPr>
          <w:noProof/>
        </w:rPr>
        <w:fldChar w:fldCharType="separate"/>
      </w:r>
      <w:r>
        <w:rPr>
          <w:noProof/>
        </w:rPr>
        <w:t>19</w:t>
      </w:r>
      <w:r>
        <w:rPr>
          <w:noProof/>
        </w:rPr>
        <w:fldChar w:fldCharType="end"/>
      </w:r>
    </w:p>
    <w:p w14:paraId="5BC9D427" w14:textId="77777777" w:rsidR="00E86304" w:rsidRDefault="00E86304" w:rsidP="00E86304">
      <w:pPr>
        <w:pStyle w:val="TOC3"/>
        <w:rPr>
          <w:rFonts w:asciiTheme="minorHAnsi" w:eastAsiaTheme="minorEastAsia" w:hAnsiTheme="minorHAnsi" w:cstheme="minorBidi"/>
          <w:b w:val="0"/>
          <w:noProof/>
          <w:kern w:val="2"/>
          <w:sz w:val="24"/>
          <w:szCs w:val="24"/>
          <w14:ligatures w14:val="standardContextual"/>
        </w:rPr>
      </w:pPr>
      <w:r>
        <w:rPr>
          <w:noProof/>
        </w:rPr>
        <w:t>Default rules on incorporating documents by reference</w:t>
      </w:r>
      <w:r>
        <w:rPr>
          <w:noProof/>
        </w:rPr>
        <w:tab/>
      </w:r>
      <w:r>
        <w:rPr>
          <w:noProof/>
        </w:rPr>
        <w:fldChar w:fldCharType="begin"/>
      </w:r>
      <w:r>
        <w:rPr>
          <w:noProof/>
        </w:rPr>
        <w:instrText xml:space="preserve"> PAGEREF _Toc238117538 \h </w:instrText>
      </w:r>
      <w:r>
        <w:rPr>
          <w:noProof/>
        </w:rPr>
      </w:r>
      <w:r>
        <w:rPr>
          <w:noProof/>
        </w:rPr>
        <w:fldChar w:fldCharType="separate"/>
      </w:r>
      <w:r>
        <w:rPr>
          <w:noProof/>
        </w:rPr>
        <w:t>23</w:t>
      </w:r>
      <w:r>
        <w:rPr>
          <w:noProof/>
        </w:rPr>
        <w:fldChar w:fldCharType="end"/>
      </w:r>
    </w:p>
    <w:p w14:paraId="68DCCD3C" w14:textId="77777777" w:rsidR="00E86304" w:rsidRDefault="00E86304" w:rsidP="00E86304">
      <w:pPr>
        <w:pStyle w:val="TOC3"/>
        <w:rPr>
          <w:rFonts w:asciiTheme="minorHAnsi" w:eastAsiaTheme="minorEastAsia" w:hAnsiTheme="minorHAnsi" w:cstheme="minorBidi"/>
          <w:b w:val="0"/>
          <w:noProof/>
          <w:kern w:val="2"/>
          <w:sz w:val="24"/>
          <w:szCs w:val="24"/>
          <w14:ligatures w14:val="standardContextual"/>
        </w:rPr>
      </w:pPr>
      <w:r>
        <w:rPr>
          <w:noProof/>
        </w:rPr>
        <w:t>Scope to delegate power</w:t>
      </w:r>
      <w:r>
        <w:rPr>
          <w:noProof/>
        </w:rPr>
        <w:tab/>
      </w:r>
      <w:r>
        <w:rPr>
          <w:noProof/>
        </w:rPr>
        <w:fldChar w:fldCharType="begin"/>
      </w:r>
      <w:r>
        <w:rPr>
          <w:noProof/>
        </w:rPr>
        <w:instrText xml:space="preserve"> PAGEREF _Toc238117539 \h </w:instrText>
      </w:r>
      <w:r>
        <w:rPr>
          <w:noProof/>
        </w:rPr>
      </w:r>
      <w:r>
        <w:rPr>
          <w:noProof/>
        </w:rPr>
        <w:fldChar w:fldCharType="separate"/>
      </w:r>
      <w:r>
        <w:rPr>
          <w:noProof/>
        </w:rPr>
        <w:t>24</w:t>
      </w:r>
      <w:r>
        <w:rPr>
          <w:noProof/>
        </w:rPr>
        <w:fldChar w:fldCharType="end"/>
      </w:r>
    </w:p>
    <w:p w14:paraId="79BA544E" w14:textId="77777777" w:rsidR="00E86304" w:rsidRDefault="00E86304" w:rsidP="00E86304">
      <w:pPr>
        <w:pStyle w:val="TOC3"/>
        <w:rPr>
          <w:rFonts w:asciiTheme="minorHAnsi" w:eastAsiaTheme="minorEastAsia" w:hAnsiTheme="minorHAnsi" w:cstheme="minorBidi"/>
          <w:b w:val="0"/>
          <w:noProof/>
          <w:kern w:val="2"/>
          <w:sz w:val="24"/>
          <w:szCs w:val="24"/>
          <w14:ligatures w14:val="standardContextual"/>
        </w:rPr>
      </w:pPr>
      <w:r>
        <w:rPr>
          <w:noProof/>
        </w:rPr>
        <w:t>Offences, infringement notices and enforcement powers</w:t>
      </w:r>
      <w:r>
        <w:rPr>
          <w:noProof/>
        </w:rPr>
        <w:tab/>
      </w:r>
      <w:r>
        <w:rPr>
          <w:noProof/>
        </w:rPr>
        <w:fldChar w:fldCharType="begin"/>
      </w:r>
      <w:r>
        <w:rPr>
          <w:noProof/>
        </w:rPr>
        <w:instrText xml:space="preserve"> PAGEREF _Toc238117540 \h </w:instrText>
      </w:r>
      <w:r>
        <w:rPr>
          <w:noProof/>
        </w:rPr>
      </w:r>
      <w:r>
        <w:rPr>
          <w:noProof/>
        </w:rPr>
        <w:fldChar w:fldCharType="separate"/>
      </w:r>
      <w:r>
        <w:rPr>
          <w:noProof/>
        </w:rPr>
        <w:t>26</w:t>
      </w:r>
      <w:r>
        <w:rPr>
          <w:noProof/>
        </w:rPr>
        <w:fldChar w:fldCharType="end"/>
      </w:r>
    </w:p>
    <w:p w14:paraId="7C41288C" w14:textId="77777777" w:rsidR="00E86304" w:rsidRDefault="00E86304" w:rsidP="00E86304">
      <w:pPr>
        <w:pStyle w:val="TOC3"/>
        <w:rPr>
          <w:rFonts w:asciiTheme="minorHAnsi" w:eastAsiaTheme="minorEastAsia" w:hAnsiTheme="minorHAnsi" w:cstheme="minorBidi"/>
          <w:b w:val="0"/>
          <w:noProof/>
          <w:kern w:val="2"/>
          <w:sz w:val="24"/>
          <w:szCs w:val="24"/>
          <w14:ligatures w14:val="standardContextual"/>
        </w:rPr>
      </w:pPr>
      <w:r>
        <w:rPr>
          <w:noProof/>
        </w:rPr>
        <w:t>Gender</w:t>
      </w:r>
      <w:r>
        <w:rPr>
          <w:noProof/>
        </w:rPr>
        <w:noBreakHyphen/>
        <w:t>specific and gender</w:t>
      </w:r>
      <w:r>
        <w:rPr>
          <w:noProof/>
        </w:rPr>
        <w:noBreakHyphen/>
        <w:t>neutral language</w:t>
      </w:r>
      <w:r>
        <w:rPr>
          <w:noProof/>
        </w:rPr>
        <w:tab/>
      </w:r>
      <w:r>
        <w:rPr>
          <w:noProof/>
        </w:rPr>
        <w:fldChar w:fldCharType="begin"/>
      </w:r>
      <w:r>
        <w:rPr>
          <w:noProof/>
        </w:rPr>
        <w:instrText xml:space="preserve"> PAGEREF _Toc238117541 \h </w:instrText>
      </w:r>
      <w:r>
        <w:rPr>
          <w:noProof/>
        </w:rPr>
      </w:r>
      <w:r>
        <w:rPr>
          <w:noProof/>
        </w:rPr>
        <w:fldChar w:fldCharType="separate"/>
      </w:r>
      <w:r>
        <w:rPr>
          <w:noProof/>
        </w:rPr>
        <w:t>26</w:t>
      </w:r>
      <w:r>
        <w:rPr>
          <w:noProof/>
        </w:rPr>
        <w:fldChar w:fldCharType="end"/>
      </w:r>
    </w:p>
    <w:p w14:paraId="6ABD7892" w14:textId="77777777" w:rsidR="00E86304" w:rsidRDefault="00E86304" w:rsidP="00E86304">
      <w:pPr>
        <w:pStyle w:val="TOC3"/>
        <w:rPr>
          <w:rFonts w:asciiTheme="minorHAnsi" w:eastAsiaTheme="minorEastAsia" w:hAnsiTheme="minorHAnsi" w:cstheme="minorBidi"/>
          <w:b w:val="0"/>
          <w:noProof/>
          <w:kern w:val="2"/>
          <w:sz w:val="24"/>
          <w:szCs w:val="24"/>
          <w14:ligatures w14:val="standardContextual"/>
        </w:rPr>
      </w:pPr>
      <w:r>
        <w:rPr>
          <w:noProof/>
        </w:rPr>
        <w:t>Security</w:t>
      </w:r>
      <w:r>
        <w:rPr>
          <w:noProof/>
        </w:rPr>
        <w:tab/>
      </w:r>
      <w:r>
        <w:rPr>
          <w:noProof/>
        </w:rPr>
        <w:tab/>
      </w:r>
      <w:r>
        <w:rPr>
          <w:noProof/>
        </w:rPr>
        <w:fldChar w:fldCharType="begin"/>
      </w:r>
      <w:r>
        <w:rPr>
          <w:noProof/>
        </w:rPr>
        <w:instrText xml:space="preserve"> PAGEREF _Toc238117542 \h </w:instrText>
      </w:r>
      <w:r>
        <w:rPr>
          <w:noProof/>
        </w:rPr>
      </w:r>
      <w:r>
        <w:rPr>
          <w:noProof/>
        </w:rPr>
        <w:fldChar w:fldCharType="separate"/>
      </w:r>
      <w:r>
        <w:rPr>
          <w:noProof/>
        </w:rPr>
        <w:t>26</w:t>
      </w:r>
      <w:r>
        <w:rPr>
          <w:noProof/>
        </w:rPr>
        <w:fldChar w:fldCharType="end"/>
      </w:r>
    </w:p>
    <w:p w14:paraId="01C760AB" w14:textId="77777777" w:rsidR="00E86304" w:rsidRDefault="00E86304" w:rsidP="00E86304">
      <w:pPr>
        <w:pStyle w:val="TOC3"/>
        <w:rPr>
          <w:rFonts w:asciiTheme="minorHAnsi" w:eastAsiaTheme="minorEastAsia" w:hAnsiTheme="minorHAnsi" w:cstheme="minorBidi"/>
          <w:b w:val="0"/>
          <w:noProof/>
          <w:kern w:val="2"/>
          <w:sz w:val="24"/>
          <w:szCs w:val="24"/>
          <w14:ligatures w14:val="standardContextual"/>
        </w:rPr>
      </w:pPr>
      <w:r>
        <w:rPr>
          <w:noProof/>
        </w:rPr>
        <w:t>Privacy</w:t>
      </w:r>
      <w:r>
        <w:rPr>
          <w:noProof/>
        </w:rPr>
        <w:tab/>
      </w:r>
      <w:r>
        <w:rPr>
          <w:noProof/>
        </w:rPr>
        <w:tab/>
      </w:r>
      <w:r>
        <w:rPr>
          <w:noProof/>
        </w:rPr>
        <w:fldChar w:fldCharType="begin"/>
      </w:r>
      <w:r>
        <w:rPr>
          <w:noProof/>
        </w:rPr>
        <w:instrText xml:space="preserve"> PAGEREF _Toc238117543 \h </w:instrText>
      </w:r>
      <w:r>
        <w:rPr>
          <w:noProof/>
        </w:rPr>
      </w:r>
      <w:r>
        <w:rPr>
          <w:noProof/>
        </w:rPr>
        <w:fldChar w:fldCharType="separate"/>
      </w:r>
      <w:r>
        <w:rPr>
          <w:noProof/>
        </w:rPr>
        <w:t>27</w:t>
      </w:r>
      <w:r>
        <w:rPr>
          <w:noProof/>
        </w:rPr>
        <w:fldChar w:fldCharType="end"/>
      </w:r>
    </w:p>
    <w:p w14:paraId="58D43B9D" w14:textId="77777777" w:rsidR="00E86304" w:rsidRDefault="00E86304" w:rsidP="00E86304">
      <w:pPr>
        <w:pStyle w:val="TOC3"/>
        <w:rPr>
          <w:rFonts w:asciiTheme="minorHAnsi" w:eastAsiaTheme="minorEastAsia" w:hAnsiTheme="minorHAnsi" w:cstheme="minorBidi"/>
          <w:b w:val="0"/>
          <w:noProof/>
          <w:kern w:val="2"/>
          <w:sz w:val="24"/>
          <w:szCs w:val="24"/>
          <w14:ligatures w14:val="standardContextual"/>
        </w:rPr>
      </w:pPr>
      <w:r>
        <w:rPr>
          <w:noProof/>
        </w:rPr>
        <w:t>Copyright</w:t>
      </w:r>
      <w:r>
        <w:rPr>
          <w:noProof/>
        </w:rPr>
        <w:tab/>
      </w:r>
      <w:r>
        <w:rPr>
          <w:noProof/>
        </w:rPr>
        <w:tab/>
      </w:r>
      <w:r>
        <w:rPr>
          <w:noProof/>
        </w:rPr>
        <w:fldChar w:fldCharType="begin"/>
      </w:r>
      <w:r>
        <w:rPr>
          <w:noProof/>
        </w:rPr>
        <w:instrText xml:space="preserve"> PAGEREF _Toc238117544 \h </w:instrText>
      </w:r>
      <w:r>
        <w:rPr>
          <w:noProof/>
        </w:rPr>
      </w:r>
      <w:r>
        <w:rPr>
          <w:noProof/>
        </w:rPr>
        <w:fldChar w:fldCharType="separate"/>
      </w:r>
      <w:r>
        <w:rPr>
          <w:noProof/>
        </w:rPr>
        <w:t>27</w:t>
      </w:r>
      <w:r>
        <w:rPr>
          <w:noProof/>
        </w:rPr>
        <w:fldChar w:fldCharType="end"/>
      </w:r>
    </w:p>
    <w:p w14:paraId="60FFD86B" w14:textId="77777777" w:rsidR="00E86304" w:rsidRDefault="00E86304" w:rsidP="00E86304">
      <w:pPr>
        <w:pStyle w:val="TOC3"/>
        <w:rPr>
          <w:rFonts w:asciiTheme="minorHAnsi" w:eastAsiaTheme="minorEastAsia" w:hAnsiTheme="minorHAnsi" w:cstheme="minorBidi"/>
          <w:b w:val="0"/>
          <w:noProof/>
          <w:kern w:val="2"/>
          <w:sz w:val="24"/>
          <w:szCs w:val="24"/>
          <w14:ligatures w14:val="standardContextual"/>
        </w:rPr>
      </w:pPr>
      <w:r>
        <w:rPr>
          <w:noProof/>
        </w:rPr>
        <w:t>Technical considerations</w:t>
      </w:r>
      <w:r>
        <w:rPr>
          <w:noProof/>
        </w:rPr>
        <w:tab/>
      </w:r>
      <w:r>
        <w:rPr>
          <w:noProof/>
        </w:rPr>
        <w:fldChar w:fldCharType="begin"/>
      </w:r>
      <w:r>
        <w:rPr>
          <w:noProof/>
        </w:rPr>
        <w:instrText xml:space="preserve"> PAGEREF _Toc238117545 \h </w:instrText>
      </w:r>
      <w:r>
        <w:rPr>
          <w:noProof/>
        </w:rPr>
      </w:r>
      <w:r>
        <w:rPr>
          <w:noProof/>
        </w:rPr>
        <w:fldChar w:fldCharType="separate"/>
      </w:r>
      <w:r>
        <w:rPr>
          <w:noProof/>
        </w:rPr>
        <w:t>27</w:t>
      </w:r>
      <w:r>
        <w:rPr>
          <w:noProof/>
        </w:rPr>
        <w:fldChar w:fldCharType="end"/>
      </w:r>
    </w:p>
    <w:p w14:paraId="521E5E4E" w14:textId="77777777" w:rsidR="00E86304" w:rsidRDefault="00E86304" w:rsidP="00E86304">
      <w:pPr>
        <w:pStyle w:val="TOC3"/>
        <w:rPr>
          <w:rFonts w:asciiTheme="minorHAnsi" w:eastAsiaTheme="minorEastAsia" w:hAnsiTheme="minorHAnsi" w:cstheme="minorBidi"/>
          <w:b w:val="0"/>
          <w:noProof/>
          <w:kern w:val="2"/>
          <w:sz w:val="24"/>
          <w:szCs w:val="24"/>
          <w14:ligatures w14:val="standardContextual"/>
        </w:rPr>
      </w:pPr>
      <w:r>
        <w:rPr>
          <w:noProof/>
        </w:rPr>
        <w:t>Improving drafting standards</w:t>
      </w:r>
      <w:r>
        <w:rPr>
          <w:noProof/>
        </w:rPr>
        <w:tab/>
      </w:r>
      <w:r>
        <w:rPr>
          <w:noProof/>
        </w:rPr>
        <w:fldChar w:fldCharType="begin"/>
      </w:r>
      <w:r>
        <w:rPr>
          <w:noProof/>
        </w:rPr>
        <w:instrText xml:space="preserve"> PAGEREF _Toc238117546 \h </w:instrText>
      </w:r>
      <w:r>
        <w:rPr>
          <w:noProof/>
        </w:rPr>
      </w:r>
      <w:r>
        <w:rPr>
          <w:noProof/>
        </w:rPr>
        <w:fldChar w:fldCharType="separate"/>
      </w:r>
      <w:r>
        <w:rPr>
          <w:noProof/>
        </w:rPr>
        <w:t>29</w:t>
      </w:r>
      <w:r>
        <w:rPr>
          <w:noProof/>
        </w:rPr>
        <w:fldChar w:fldCharType="end"/>
      </w:r>
    </w:p>
    <w:p w14:paraId="7214C394" w14:textId="77777777" w:rsidR="00E86304" w:rsidRDefault="00E86304" w:rsidP="00E86304">
      <w:pPr>
        <w:pStyle w:val="TOC2"/>
        <w:rPr>
          <w:rFonts w:asciiTheme="minorHAnsi" w:eastAsiaTheme="minorEastAsia" w:hAnsiTheme="minorHAnsi" w:cstheme="minorBidi"/>
          <w:b w:val="0"/>
          <w:noProof/>
          <w:kern w:val="2"/>
          <w:szCs w:val="24"/>
          <w14:ligatures w14:val="standardContextual"/>
        </w:rPr>
      </w:pPr>
      <w:r>
        <w:rPr>
          <w:noProof/>
        </w:rPr>
        <w:t>Chapter 4—Lodgement and registration of instruments</w:t>
      </w:r>
      <w:r>
        <w:rPr>
          <w:noProof/>
        </w:rPr>
        <w:tab/>
      </w:r>
      <w:r>
        <w:rPr>
          <w:noProof/>
        </w:rPr>
        <w:fldChar w:fldCharType="begin"/>
      </w:r>
      <w:r>
        <w:rPr>
          <w:noProof/>
        </w:rPr>
        <w:instrText xml:space="preserve"> PAGEREF _Toc238117547 \h </w:instrText>
      </w:r>
      <w:r>
        <w:rPr>
          <w:noProof/>
        </w:rPr>
      </w:r>
      <w:r>
        <w:rPr>
          <w:noProof/>
        </w:rPr>
        <w:fldChar w:fldCharType="separate"/>
      </w:r>
      <w:r>
        <w:rPr>
          <w:noProof/>
        </w:rPr>
        <w:t>31</w:t>
      </w:r>
      <w:r>
        <w:rPr>
          <w:noProof/>
        </w:rPr>
        <w:fldChar w:fldCharType="end"/>
      </w:r>
    </w:p>
    <w:p w14:paraId="219FFE87" w14:textId="77777777" w:rsidR="00E86304" w:rsidRDefault="00E86304" w:rsidP="00E86304">
      <w:pPr>
        <w:pStyle w:val="TOC3"/>
        <w:rPr>
          <w:rFonts w:asciiTheme="minorHAnsi" w:eastAsiaTheme="minorEastAsia" w:hAnsiTheme="minorHAnsi" w:cstheme="minorBidi"/>
          <w:b w:val="0"/>
          <w:noProof/>
          <w:kern w:val="2"/>
          <w:sz w:val="24"/>
          <w:szCs w:val="24"/>
          <w14:ligatures w14:val="standardContextual"/>
        </w:rPr>
      </w:pPr>
      <w:r>
        <w:rPr>
          <w:noProof/>
        </w:rPr>
        <w:t>Requirement to lodge instruments with OPC</w:t>
      </w:r>
      <w:r>
        <w:rPr>
          <w:noProof/>
        </w:rPr>
        <w:tab/>
      </w:r>
      <w:r>
        <w:rPr>
          <w:noProof/>
        </w:rPr>
        <w:fldChar w:fldCharType="begin"/>
      </w:r>
      <w:r>
        <w:rPr>
          <w:noProof/>
        </w:rPr>
        <w:instrText xml:space="preserve"> PAGEREF _Toc238117548 \h </w:instrText>
      </w:r>
      <w:r>
        <w:rPr>
          <w:noProof/>
        </w:rPr>
      </w:r>
      <w:r>
        <w:rPr>
          <w:noProof/>
        </w:rPr>
        <w:fldChar w:fldCharType="separate"/>
      </w:r>
      <w:r>
        <w:rPr>
          <w:noProof/>
        </w:rPr>
        <w:t>31</w:t>
      </w:r>
      <w:r>
        <w:rPr>
          <w:noProof/>
        </w:rPr>
        <w:fldChar w:fldCharType="end"/>
      </w:r>
    </w:p>
    <w:p w14:paraId="11F43AF7" w14:textId="77777777" w:rsidR="00E86304" w:rsidRDefault="00E86304" w:rsidP="00E86304">
      <w:pPr>
        <w:pStyle w:val="TOC3"/>
        <w:rPr>
          <w:rFonts w:asciiTheme="minorHAnsi" w:eastAsiaTheme="minorEastAsia" w:hAnsiTheme="minorHAnsi" w:cstheme="minorBidi"/>
          <w:b w:val="0"/>
          <w:noProof/>
          <w:kern w:val="2"/>
          <w:sz w:val="24"/>
          <w:szCs w:val="24"/>
          <w14:ligatures w14:val="standardContextual"/>
        </w:rPr>
      </w:pPr>
      <w:r>
        <w:rPr>
          <w:noProof/>
        </w:rPr>
        <w:t>Requirement for gazettal or notification in addition to registration</w:t>
      </w:r>
      <w:r>
        <w:rPr>
          <w:noProof/>
        </w:rPr>
        <w:tab/>
      </w:r>
      <w:r>
        <w:rPr>
          <w:noProof/>
        </w:rPr>
        <w:fldChar w:fldCharType="begin"/>
      </w:r>
      <w:r>
        <w:rPr>
          <w:noProof/>
        </w:rPr>
        <w:instrText xml:space="preserve"> PAGEREF _Toc238117549 \h </w:instrText>
      </w:r>
      <w:r>
        <w:rPr>
          <w:noProof/>
        </w:rPr>
      </w:r>
      <w:r>
        <w:rPr>
          <w:noProof/>
        </w:rPr>
        <w:fldChar w:fldCharType="separate"/>
      </w:r>
      <w:r>
        <w:rPr>
          <w:noProof/>
        </w:rPr>
        <w:t>37</w:t>
      </w:r>
      <w:r>
        <w:rPr>
          <w:noProof/>
        </w:rPr>
        <w:fldChar w:fldCharType="end"/>
      </w:r>
    </w:p>
    <w:p w14:paraId="6186D8DD" w14:textId="77777777" w:rsidR="00E86304" w:rsidRDefault="00E86304" w:rsidP="00E86304">
      <w:pPr>
        <w:pStyle w:val="TOC2"/>
        <w:rPr>
          <w:rFonts w:asciiTheme="minorHAnsi" w:eastAsiaTheme="minorEastAsia" w:hAnsiTheme="minorHAnsi" w:cstheme="minorBidi"/>
          <w:b w:val="0"/>
          <w:noProof/>
          <w:kern w:val="2"/>
          <w:szCs w:val="24"/>
          <w14:ligatures w14:val="standardContextual"/>
        </w:rPr>
      </w:pPr>
      <w:r>
        <w:rPr>
          <w:noProof/>
        </w:rPr>
        <w:t>Chapter 5—Keeping the Register up to date</w:t>
      </w:r>
      <w:r>
        <w:rPr>
          <w:noProof/>
        </w:rPr>
        <w:tab/>
      </w:r>
      <w:r>
        <w:rPr>
          <w:noProof/>
        </w:rPr>
        <w:fldChar w:fldCharType="begin"/>
      </w:r>
      <w:r>
        <w:rPr>
          <w:noProof/>
        </w:rPr>
        <w:instrText xml:space="preserve"> PAGEREF _Toc238117550 \h </w:instrText>
      </w:r>
      <w:r>
        <w:rPr>
          <w:noProof/>
        </w:rPr>
      </w:r>
      <w:r>
        <w:rPr>
          <w:noProof/>
        </w:rPr>
        <w:fldChar w:fldCharType="separate"/>
      </w:r>
      <w:r>
        <w:rPr>
          <w:noProof/>
        </w:rPr>
        <w:t>40</w:t>
      </w:r>
      <w:r>
        <w:rPr>
          <w:noProof/>
        </w:rPr>
        <w:fldChar w:fldCharType="end"/>
      </w:r>
    </w:p>
    <w:p w14:paraId="0D3A8CE6" w14:textId="77777777" w:rsidR="00E86304" w:rsidRDefault="00E86304" w:rsidP="00E86304">
      <w:pPr>
        <w:pStyle w:val="TOC3"/>
        <w:rPr>
          <w:rFonts w:asciiTheme="minorHAnsi" w:eastAsiaTheme="minorEastAsia" w:hAnsiTheme="minorHAnsi" w:cstheme="minorBidi"/>
          <w:b w:val="0"/>
          <w:noProof/>
          <w:kern w:val="2"/>
          <w:sz w:val="24"/>
          <w:szCs w:val="24"/>
          <w14:ligatures w14:val="standardContextual"/>
        </w:rPr>
      </w:pPr>
      <w:r>
        <w:rPr>
          <w:noProof/>
        </w:rPr>
        <w:t>General</w:t>
      </w:r>
      <w:r>
        <w:rPr>
          <w:noProof/>
        </w:rPr>
        <w:tab/>
      </w:r>
      <w:r>
        <w:rPr>
          <w:noProof/>
        </w:rPr>
        <w:tab/>
      </w:r>
      <w:r>
        <w:rPr>
          <w:noProof/>
        </w:rPr>
        <w:fldChar w:fldCharType="begin"/>
      </w:r>
      <w:r>
        <w:rPr>
          <w:noProof/>
        </w:rPr>
        <w:instrText xml:space="preserve"> PAGEREF _Toc238117551 \h </w:instrText>
      </w:r>
      <w:r>
        <w:rPr>
          <w:noProof/>
        </w:rPr>
      </w:r>
      <w:r>
        <w:rPr>
          <w:noProof/>
        </w:rPr>
        <w:fldChar w:fldCharType="separate"/>
      </w:r>
      <w:r>
        <w:rPr>
          <w:noProof/>
        </w:rPr>
        <w:t>40</w:t>
      </w:r>
      <w:r>
        <w:rPr>
          <w:noProof/>
        </w:rPr>
        <w:fldChar w:fldCharType="end"/>
      </w:r>
    </w:p>
    <w:p w14:paraId="1A3C1BA3" w14:textId="77777777" w:rsidR="00E86304" w:rsidRDefault="00E86304" w:rsidP="00E86304">
      <w:pPr>
        <w:pStyle w:val="TOC3"/>
        <w:rPr>
          <w:rFonts w:asciiTheme="minorHAnsi" w:eastAsiaTheme="minorEastAsia" w:hAnsiTheme="minorHAnsi" w:cstheme="minorBidi"/>
          <w:b w:val="0"/>
          <w:noProof/>
          <w:kern w:val="2"/>
          <w:sz w:val="24"/>
          <w:szCs w:val="24"/>
          <w14:ligatures w14:val="standardContextual"/>
        </w:rPr>
      </w:pPr>
      <w:r>
        <w:rPr>
          <w:noProof/>
        </w:rPr>
        <w:t>Agencies must act on lodgements found to contain errors</w:t>
      </w:r>
      <w:r>
        <w:rPr>
          <w:noProof/>
        </w:rPr>
        <w:tab/>
      </w:r>
      <w:r>
        <w:rPr>
          <w:noProof/>
        </w:rPr>
        <w:fldChar w:fldCharType="begin"/>
      </w:r>
      <w:r>
        <w:rPr>
          <w:noProof/>
        </w:rPr>
        <w:instrText xml:space="preserve"> PAGEREF _Toc238117552 \h </w:instrText>
      </w:r>
      <w:r>
        <w:rPr>
          <w:noProof/>
        </w:rPr>
      </w:r>
      <w:r>
        <w:rPr>
          <w:noProof/>
        </w:rPr>
        <w:fldChar w:fldCharType="separate"/>
      </w:r>
      <w:r>
        <w:rPr>
          <w:noProof/>
        </w:rPr>
        <w:t>40</w:t>
      </w:r>
      <w:r>
        <w:rPr>
          <w:noProof/>
        </w:rPr>
        <w:fldChar w:fldCharType="end"/>
      </w:r>
    </w:p>
    <w:p w14:paraId="0EFD0C04" w14:textId="77777777" w:rsidR="00E86304" w:rsidRDefault="00E86304" w:rsidP="00E86304">
      <w:pPr>
        <w:pStyle w:val="TOC3"/>
        <w:rPr>
          <w:rFonts w:asciiTheme="minorHAnsi" w:eastAsiaTheme="minorEastAsia" w:hAnsiTheme="minorHAnsi" w:cstheme="minorBidi"/>
          <w:b w:val="0"/>
          <w:noProof/>
          <w:kern w:val="2"/>
          <w:sz w:val="24"/>
          <w:szCs w:val="24"/>
          <w14:ligatures w14:val="standardContextual"/>
        </w:rPr>
      </w:pPr>
      <w:r>
        <w:rPr>
          <w:noProof/>
        </w:rPr>
        <w:t>Agencies must notify other events affecting the Register</w:t>
      </w:r>
      <w:r>
        <w:rPr>
          <w:noProof/>
        </w:rPr>
        <w:tab/>
      </w:r>
      <w:r>
        <w:rPr>
          <w:noProof/>
        </w:rPr>
        <w:fldChar w:fldCharType="begin"/>
      </w:r>
      <w:r>
        <w:rPr>
          <w:noProof/>
        </w:rPr>
        <w:instrText xml:space="preserve"> PAGEREF _Toc238117553 \h </w:instrText>
      </w:r>
      <w:r>
        <w:rPr>
          <w:noProof/>
        </w:rPr>
      </w:r>
      <w:r>
        <w:rPr>
          <w:noProof/>
        </w:rPr>
        <w:fldChar w:fldCharType="separate"/>
      </w:r>
      <w:r>
        <w:rPr>
          <w:noProof/>
        </w:rPr>
        <w:t>41</w:t>
      </w:r>
      <w:r>
        <w:rPr>
          <w:noProof/>
        </w:rPr>
        <w:fldChar w:fldCharType="end"/>
      </w:r>
    </w:p>
    <w:p w14:paraId="1CC2BA17" w14:textId="77777777" w:rsidR="00E86304" w:rsidRDefault="00E86304" w:rsidP="00E86304">
      <w:pPr>
        <w:pStyle w:val="TOC3"/>
        <w:rPr>
          <w:rFonts w:asciiTheme="minorHAnsi" w:eastAsiaTheme="minorEastAsia" w:hAnsiTheme="minorHAnsi" w:cstheme="minorBidi"/>
          <w:b w:val="0"/>
          <w:noProof/>
          <w:kern w:val="2"/>
          <w:sz w:val="24"/>
          <w:szCs w:val="24"/>
          <w14:ligatures w14:val="standardContextual"/>
        </w:rPr>
      </w:pPr>
      <w:r>
        <w:rPr>
          <w:noProof/>
        </w:rPr>
        <w:t>If an error is found in the Register</w:t>
      </w:r>
      <w:r>
        <w:rPr>
          <w:noProof/>
        </w:rPr>
        <w:tab/>
      </w:r>
      <w:r>
        <w:rPr>
          <w:noProof/>
        </w:rPr>
        <w:fldChar w:fldCharType="begin"/>
      </w:r>
      <w:r>
        <w:rPr>
          <w:noProof/>
        </w:rPr>
        <w:instrText xml:space="preserve"> PAGEREF _Toc238117554 \h </w:instrText>
      </w:r>
      <w:r>
        <w:rPr>
          <w:noProof/>
        </w:rPr>
      </w:r>
      <w:r>
        <w:rPr>
          <w:noProof/>
        </w:rPr>
        <w:fldChar w:fldCharType="separate"/>
      </w:r>
      <w:r>
        <w:rPr>
          <w:noProof/>
        </w:rPr>
        <w:t>42</w:t>
      </w:r>
      <w:r>
        <w:rPr>
          <w:noProof/>
        </w:rPr>
        <w:fldChar w:fldCharType="end"/>
      </w:r>
    </w:p>
    <w:p w14:paraId="7569C684" w14:textId="77777777" w:rsidR="00E86304" w:rsidRDefault="00E86304" w:rsidP="00E86304">
      <w:pPr>
        <w:pStyle w:val="TOC3"/>
        <w:rPr>
          <w:rFonts w:asciiTheme="minorHAnsi" w:eastAsiaTheme="minorEastAsia" w:hAnsiTheme="minorHAnsi" w:cstheme="minorBidi"/>
          <w:b w:val="0"/>
          <w:noProof/>
          <w:kern w:val="2"/>
          <w:sz w:val="24"/>
          <w:szCs w:val="24"/>
          <w14:ligatures w14:val="standardContextual"/>
        </w:rPr>
      </w:pPr>
      <w:r>
        <w:rPr>
          <w:noProof/>
        </w:rPr>
        <w:t>Rectification of disallowable legislative instruments</w:t>
      </w:r>
      <w:r>
        <w:rPr>
          <w:noProof/>
        </w:rPr>
        <w:tab/>
      </w:r>
      <w:r>
        <w:rPr>
          <w:noProof/>
        </w:rPr>
        <w:fldChar w:fldCharType="begin"/>
      </w:r>
      <w:r>
        <w:rPr>
          <w:noProof/>
        </w:rPr>
        <w:instrText xml:space="preserve"> PAGEREF _Toc238117555 \h </w:instrText>
      </w:r>
      <w:r>
        <w:rPr>
          <w:noProof/>
        </w:rPr>
      </w:r>
      <w:r>
        <w:rPr>
          <w:noProof/>
        </w:rPr>
        <w:fldChar w:fldCharType="separate"/>
      </w:r>
      <w:r>
        <w:rPr>
          <w:noProof/>
        </w:rPr>
        <w:t>43</w:t>
      </w:r>
      <w:r>
        <w:rPr>
          <w:noProof/>
        </w:rPr>
        <w:fldChar w:fldCharType="end"/>
      </w:r>
    </w:p>
    <w:p w14:paraId="75F19EB3" w14:textId="77777777" w:rsidR="00E86304" w:rsidRDefault="00E86304" w:rsidP="00E86304">
      <w:pPr>
        <w:pStyle w:val="TOC3"/>
        <w:rPr>
          <w:rFonts w:asciiTheme="minorHAnsi" w:eastAsiaTheme="minorEastAsia" w:hAnsiTheme="minorHAnsi" w:cstheme="minorBidi"/>
          <w:b w:val="0"/>
          <w:noProof/>
          <w:kern w:val="2"/>
          <w:sz w:val="24"/>
          <w:szCs w:val="24"/>
          <w14:ligatures w14:val="standardContextual"/>
        </w:rPr>
      </w:pPr>
      <w:r>
        <w:rPr>
          <w:noProof/>
        </w:rPr>
        <w:t>Scope for redaction or removal of registered documents</w:t>
      </w:r>
      <w:r>
        <w:rPr>
          <w:noProof/>
        </w:rPr>
        <w:tab/>
      </w:r>
      <w:r>
        <w:rPr>
          <w:noProof/>
        </w:rPr>
        <w:fldChar w:fldCharType="begin"/>
      </w:r>
      <w:r>
        <w:rPr>
          <w:noProof/>
        </w:rPr>
        <w:instrText xml:space="preserve"> PAGEREF _Toc238117556 \h </w:instrText>
      </w:r>
      <w:r>
        <w:rPr>
          <w:noProof/>
        </w:rPr>
      </w:r>
      <w:r>
        <w:rPr>
          <w:noProof/>
        </w:rPr>
        <w:fldChar w:fldCharType="separate"/>
      </w:r>
      <w:r>
        <w:rPr>
          <w:noProof/>
        </w:rPr>
        <w:t>44</w:t>
      </w:r>
      <w:r>
        <w:rPr>
          <w:noProof/>
        </w:rPr>
        <w:fldChar w:fldCharType="end"/>
      </w:r>
    </w:p>
    <w:p w14:paraId="516236D5" w14:textId="77777777" w:rsidR="00E86304" w:rsidRDefault="00E86304" w:rsidP="00E86304">
      <w:pPr>
        <w:pStyle w:val="TOC3"/>
        <w:rPr>
          <w:rFonts w:asciiTheme="minorHAnsi" w:eastAsiaTheme="minorEastAsia" w:hAnsiTheme="minorHAnsi" w:cstheme="minorBidi"/>
          <w:b w:val="0"/>
          <w:noProof/>
          <w:kern w:val="2"/>
          <w:sz w:val="24"/>
          <w:szCs w:val="24"/>
          <w14:ligatures w14:val="standardContextual"/>
        </w:rPr>
      </w:pPr>
      <w:r>
        <w:rPr>
          <w:noProof/>
        </w:rPr>
        <w:t>Scope for removal of reviewing comments</w:t>
      </w:r>
      <w:r>
        <w:rPr>
          <w:noProof/>
        </w:rPr>
        <w:tab/>
      </w:r>
      <w:r>
        <w:rPr>
          <w:noProof/>
        </w:rPr>
        <w:fldChar w:fldCharType="begin"/>
      </w:r>
      <w:r>
        <w:rPr>
          <w:noProof/>
        </w:rPr>
        <w:instrText xml:space="preserve"> PAGEREF _Toc238117557 \h </w:instrText>
      </w:r>
      <w:r>
        <w:rPr>
          <w:noProof/>
        </w:rPr>
      </w:r>
      <w:r>
        <w:rPr>
          <w:noProof/>
        </w:rPr>
        <w:fldChar w:fldCharType="separate"/>
      </w:r>
      <w:r>
        <w:rPr>
          <w:noProof/>
        </w:rPr>
        <w:t>44</w:t>
      </w:r>
      <w:r>
        <w:rPr>
          <w:noProof/>
        </w:rPr>
        <w:fldChar w:fldCharType="end"/>
      </w:r>
    </w:p>
    <w:p w14:paraId="3FDE6252" w14:textId="77777777" w:rsidR="00E86304" w:rsidRDefault="00E86304" w:rsidP="00E86304">
      <w:pPr>
        <w:pStyle w:val="TOC3"/>
        <w:rPr>
          <w:rFonts w:asciiTheme="minorHAnsi" w:eastAsiaTheme="minorEastAsia" w:hAnsiTheme="minorHAnsi" w:cstheme="minorBidi"/>
          <w:b w:val="0"/>
          <w:noProof/>
          <w:kern w:val="2"/>
          <w:sz w:val="24"/>
          <w:szCs w:val="24"/>
          <w14:ligatures w14:val="standardContextual"/>
        </w:rPr>
      </w:pPr>
      <w:r>
        <w:rPr>
          <w:noProof/>
        </w:rPr>
        <w:t>Scope for republication of registered content</w:t>
      </w:r>
      <w:r>
        <w:rPr>
          <w:noProof/>
        </w:rPr>
        <w:tab/>
      </w:r>
      <w:r>
        <w:rPr>
          <w:noProof/>
        </w:rPr>
        <w:fldChar w:fldCharType="begin"/>
      </w:r>
      <w:r>
        <w:rPr>
          <w:noProof/>
        </w:rPr>
        <w:instrText xml:space="preserve"> PAGEREF _Toc238117558 \h </w:instrText>
      </w:r>
      <w:r>
        <w:rPr>
          <w:noProof/>
        </w:rPr>
      </w:r>
      <w:r>
        <w:rPr>
          <w:noProof/>
        </w:rPr>
        <w:fldChar w:fldCharType="separate"/>
      </w:r>
      <w:r>
        <w:rPr>
          <w:noProof/>
        </w:rPr>
        <w:t>44</w:t>
      </w:r>
      <w:r>
        <w:rPr>
          <w:noProof/>
        </w:rPr>
        <w:fldChar w:fldCharType="end"/>
      </w:r>
    </w:p>
    <w:p w14:paraId="516EAE91" w14:textId="77777777" w:rsidR="00E86304" w:rsidRDefault="00E86304" w:rsidP="00E86304">
      <w:pPr>
        <w:pStyle w:val="TOC3"/>
        <w:rPr>
          <w:rFonts w:asciiTheme="minorHAnsi" w:eastAsiaTheme="minorEastAsia" w:hAnsiTheme="minorHAnsi" w:cstheme="minorBidi"/>
          <w:b w:val="0"/>
          <w:noProof/>
          <w:kern w:val="2"/>
          <w:sz w:val="24"/>
          <w:szCs w:val="24"/>
          <w14:ligatures w14:val="standardContextual"/>
        </w:rPr>
      </w:pPr>
      <w:r>
        <w:rPr>
          <w:noProof/>
        </w:rPr>
        <w:lastRenderedPageBreak/>
        <w:t>If an instrument is no longer required</w:t>
      </w:r>
      <w:r>
        <w:rPr>
          <w:noProof/>
        </w:rPr>
        <w:tab/>
      </w:r>
      <w:r>
        <w:rPr>
          <w:noProof/>
        </w:rPr>
        <w:fldChar w:fldCharType="begin"/>
      </w:r>
      <w:r>
        <w:rPr>
          <w:noProof/>
        </w:rPr>
        <w:instrText xml:space="preserve"> PAGEREF _Toc238117559 \h </w:instrText>
      </w:r>
      <w:r>
        <w:rPr>
          <w:noProof/>
        </w:rPr>
      </w:r>
      <w:r>
        <w:rPr>
          <w:noProof/>
        </w:rPr>
        <w:fldChar w:fldCharType="separate"/>
      </w:r>
      <w:r>
        <w:rPr>
          <w:noProof/>
        </w:rPr>
        <w:t>45</w:t>
      </w:r>
      <w:r>
        <w:rPr>
          <w:noProof/>
        </w:rPr>
        <w:fldChar w:fldCharType="end"/>
      </w:r>
    </w:p>
    <w:p w14:paraId="1E2BD528" w14:textId="77777777" w:rsidR="00E86304" w:rsidRDefault="00E86304" w:rsidP="00E86304">
      <w:pPr>
        <w:pStyle w:val="TOC1"/>
        <w:rPr>
          <w:rFonts w:asciiTheme="minorHAnsi" w:eastAsiaTheme="minorEastAsia" w:hAnsiTheme="minorHAnsi" w:cstheme="minorBidi"/>
          <w:b w:val="0"/>
          <w:noProof/>
          <w:kern w:val="2"/>
          <w:sz w:val="24"/>
          <w:szCs w:val="24"/>
          <w14:ligatures w14:val="standardContextual"/>
        </w:rPr>
      </w:pPr>
      <w:r>
        <w:rPr>
          <w:noProof/>
        </w:rPr>
        <w:t>Part 2—Matters specific to legislative instruments</w:t>
      </w:r>
      <w:r>
        <w:rPr>
          <w:noProof/>
        </w:rPr>
        <w:tab/>
      </w:r>
      <w:r>
        <w:rPr>
          <w:noProof/>
        </w:rPr>
        <w:fldChar w:fldCharType="begin"/>
      </w:r>
      <w:r>
        <w:rPr>
          <w:noProof/>
        </w:rPr>
        <w:instrText xml:space="preserve"> PAGEREF _Toc238117560 \h </w:instrText>
      </w:r>
      <w:r>
        <w:rPr>
          <w:noProof/>
        </w:rPr>
      </w:r>
      <w:r>
        <w:rPr>
          <w:noProof/>
        </w:rPr>
        <w:fldChar w:fldCharType="separate"/>
      </w:r>
      <w:r>
        <w:rPr>
          <w:noProof/>
        </w:rPr>
        <w:t>48</w:t>
      </w:r>
      <w:r>
        <w:rPr>
          <w:noProof/>
        </w:rPr>
        <w:fldChar w:fldCharType="end"/>
      </w:r>
    </w:p>
    <w:p w14:paraId="129D2944" w14:textId="77777777" w:rsidR="00E86304" w:rsidRDefault="00E86304" w:rsidP="00E86304">
      <w:pPr>
        <w:pStyle w:val="TOC2"/>
        <w:rPr>
          <w:rFonts w:asciiTheme="minorHAnsi" w:eastAsiaTheme="minorEastAsia" w:hAnsiTheme="minorHAnsi" w:cstheme="minorBidi"/>
          <w:b w:val="0"/>
          <w:noProof/>
          <w:kern w:val="2"/>
          <w:szCs w:val="24"/>
          <w14:ligatures w14:val="standardContextual"/>
        </w:rPr>
      </w:pPr>
      <w:r>
        <w:rPr>
          <w:noProof/>
        </w:rPr>
        <w:t>Chapter 6—Before making a legislative instrument</w:t>
      </w:r>
      <w:r>
        <w:rPr>
          <w:noProof/>
        </w:rPr>
        <w:tab/>
      </w:r>
      <w:r>
        <w:rPr>
          <w:noProof/>
        </w:rPr>
        <w:fldChar w:fldCharType="begin"/>
      </w:r>
      <w:r>
        <w:rPr>
          <w:noProof/>
        </w:rPr>
        <w:instrText xml:space="preserve"> PAGEREF _Toc238117561 \h </w:instrText>
      </w:r>
      <w:r>
        <w:rPr>
          <w:noProof/>
        </w:rPr>
      </w:r>
      <w:r>
        <w:rPr>
          <w:noProof/>
        </w:rPr>
        <w:fldChar w:fldCharType="separate"/>
      </w:r>
      <w:r>
        <w:rPr>
          <w:noProof/>
        </w:rPr>
        <w:t>48</w:t>
      </w:r>
      <w:r>
        <w:rPr>
          <w:noProof/>
        </w:rPr>
        <w:fldChar w:fldCharType="end"/>
      </w:r>
    </w:p>
    <w:p w14:paraId="3244BEFD" w14:textId="77777777" w:rsidR="00E86304" w:rsidRDefault="00E86304" w:rsidP="00E86304">
      <w:pPr>
        <w:pStyle w:val="TOC3"/>
        <w:rPr>
          <w:rFonts w:asciiTheme="minorHAnsi" w:eastAsiaTheme="minorEastAsia" w:hAnsiTheme="minorHAnsi" w:cstheme="minorBidi"/>
          <w:b w:val="0"/>
          <w:noProof/>
          <w:kern w:val="2"/>
          <w:sz w:val="24"/>
          <w:szCs w:val="24"/>
          <w14:ligatures w14:val="standardContextual"/>
        </w:rPr>
      </w:pPr>
      <w:r>
        <w:rPr>
          <w:noProof/>
        </w:rPr>
        <w:t>What is making?</w:t>
      </w:r>
      <w:r>
        <w:rPr>
          <w:noProof/>
        </w:rPr>
        <w:tab/>
      </w:r>
      <w:r>
        <w:rPr>
          <w:noProof/>
        </w:rPr>
        <w:fldChar w:fldCharType="begin"/>
      </w:r>
      <w:r>
        <w:rPr>
          <w:noProof/>
        </w:rPr>
        <w:instrText xml:space="preserve"> PAGEREF _Toc238117562 \h </w:instrText>
      </w:r>
      <w:r>
        <w:rPr>
          <w:noProof/>
        </w:rPr>
      </w:r>
      <w:r>
        <w:rPr>
          <w:noProof/>
        </w:rPr>
        <w:fldChar w:fldCharType="separate"/>
      </w:r>
      <w:r>
        <w:rPr>
          <w:noProof/>
        </w:rPr>
        <w:t>48</w:t>
      </w:r>
      <w:r>
        <w:rPr>
          <w:noProof/>
        </w:rPr>
        <w:fldChar w:fldCharType="end"/>
      </w:r>
    </w:p>
    <w:p w14:paraId="125FCCF9" w14:textId="77777777" w:rsidR="00E86304" w:rsidRDefault="00E86304" w:rsidP="00E86304">
      <w:pPr>
        <w:pStyle w:val="TOC3"/>
        <w:rPr>
          <w:rFonts w:asciiTheme="minorHAnsi" w:eastAsiaTheme="minorEastAsia" w:hAnsiTheme="minorHAnsi" w:cstheme="minorBidi"/>
          <w:b w:val="0"/>
          <w:noProof/>
          <w:kern w:val="2"/>
          <w:sz w:val="24"/>
          <w:szCs w:val="24"/>
          <w14:ligatures w14:val="standardContextual"/>
        </w:rPr>
      </w:pPr>
      <w:r>
        <w:rPr>
          <w:noProof/>
        </w:rPr>
        <w:t>Requirement to consult before making</w:t>
      </w:r>
      <w:r>
        <w:rPr>
          <w:noProof/>
        </w:rPr>
        <w:tab/>
      </w:r>
      <w:r>
        <w:rPr>
          <w:noProof/>
        </w:rPr>
        <w:fldChar w:fldCharType="begin"/>
      </w:r>
      <w:r>
        <w:rPr>
          <w:noProof/>
        </w:rPr>
        <w:instrText xml:space="preserve"> PAGEREF _Toc238117563 \h </w:instrText>
      </w:r>
      <w:r>
        <w:rPr>
          <w:noProof/>
        </w:rPr>
      </w:r>
      <w:r>
        <w:rPr>
          <w:noProof/>
        </w:rPr>
        <w:fldChar w:fldCharType="separate"/>
      </w:r>
      <w:r>
        <w:rPr>
          <w:noProof/>
        </w:rPr>
        <w:t>49</w:t>
      </w:r>
      <w:r>
        <w:rPr>
          <w:noProof/>
        </w:rPr>
        <w:fldChar w:fldCharType="end"/>
      </w:r>
    </w:p>
    <w:p w14:paraId="004736DD" w14:textId="77777777" w:rsidR="00E86304" w:rsidRDefault="00E86304" w:rsidP="00E86304">
      <w:pPr>
        <w:pStyle w:val="TOC3"/>
        <w:rPr>
          <w:rFonts w:asciiTheme="minorHAnsi" w:eastAsiaTheme="minorEastAsia" w:hAnsiTheme="minorHAnsi" w:cstheme="minorBidi"/>
          <w:b w:val="0"/>
          <w:noProof/>
          <w:kern w:val="2"/>
          <w:sz w:val="24"/>
          <w:szCs w:val="24"/>
          <w14:ligatures w14:val="standardContextual"/>
        </w:rPr>
      </w:pPr>
      <w:r>
        <w:rPr>
          <w:noProof/>
        </w:rPr>
        <w:t>Requirement to assess policy impacts before making</w:t>
      </w:r>
      <w:r>
        <w:rPr>
          <w:noProof/>
        </w:rPr>
        <w:tab/>
      </w:r>
      <w:r>
        <w:rPr>
          <w:noProof/>
        </w:rPr>
        <w:fldChar w:fldCharType="begin"/>
      </w:r>
      <w:r>
        <w:rPr>
          <w:noProof/>
        </w:rPr>
        <w:instrText xml:space="preserve"> PAGEREF _Toc238117564 \h </w:instrText>
      </w:r>
      <w:r>
        <w:rPr>
          <w:noProof/>
        </w:rPr>
      </w:r>
      <w:r>
        <w:rPr>
          <w:noProof/>
        </w:rPr>
        <w:fldChar w:fldCharType="separate"/>
      </w:r>
      <w:r>
        <w:rPr>
          <w:noProof/>
        </w:rPr>
        <w:t>50</w:t>
      </w:r>
      <w:r>
        <w:rPr>
          <w:noProof/>
        </w:rPr>
        <w:fldChar w:fldCharType="end"/>
      </w:r>
    </w:p>
    <w:p w14:paraId="47107DEC" w14:textId="77777777" w:rsidR="00E86304" w:rsidRDefault="00E86304" w:rsidP="00E86304">
      <w:pPr>
        <w:pStyle w:val="TOC3"/>
        <w:rPr>
          <w:rFonts w:asciiTheme="minorHAnsi" w:eastAsiaTheme="minorEastAsia" w:hAnsiTheme="minorHAnsi" w:cstheme="minorBidi"/>
          <w:b w:val="0"/>
          <w:noProof/>
          <w:kern w:val="2"/>
          <w:sz w:val="24"/>
          <w:szCs w:val="24"/>
          <w14:ligatures w14:val="standardContextual"/>
        </w:rPr>
      </w:pPr>
      <w:r>
        <w:rPr>
          <w:noProof/>
        </w:rPr>
        <w:t>Other requirements to consider before making</w:t>
      </w:r>
      <w:r>
        <w:rPr>
          <w:noProof/>
        </w:rPr>
        <w:tab/>
      </w:r>
      <w:r>
        <w:rPr>
          <w:noProof/>
        </w:rPr>
        <w:fldChar w:fldCharType="begin"/>
      </w:r>
      <w:r>
        <w:rPr>
          <w:noProof/>
        </w:rPr>
        <w:instrText xml:space="preserve"> PAGEREF _Toc238117565 \h </w:instrText>
      </w:r>
      <w:r>
        <w:rPr>
          <w:noProof/>
        </w:rPr>
      </w:r>
      <w:r>
        <w:rPr>
          <w:noProof/>
        </w:rPr>
        <w:fldChar w:fldCharType="separate"/>
      </w:r>
      <w:r>
        <w:rPr>
          <w:noProof/>
        </w:rPr>
        <w:t>51</w:t>
      </w:r>
      <w:r>
        <w:rPr>
          <w:noProof/>
        </w:rPr>
        <w:fldChar w:fldCharType="end"/>
      </w:r>
    </w:p>
    <w:p w14:paraId="5EBBA512" w14:textId="77777777" w:rsidR="00E86304" w:rsidRDefault="00E86304" w:rsidP="00E86304">
      <w:pPr>
        <w:pStyle w:val="TOC2"/>
        <w:rPr>
          <w:rFonts w:asciiTheme="minorHAnsi" w:eastAsiaTheme="minorEastAsia" w:hAnsiTheme="minorHAnsi" w:cstheme="minorBidi"/>
          <w:b w:val="0"/>
          <w:noProof/>
          <w:kern w:val="2"/>
          <w:szCs w:val="24"/>
          <w14:ligatures w14:val="standardContextual"/>
        </w:rPr>
      </w:pPr>
      <w:r>
        <w:rPr>
          <w:noProof/>
        </w:rPr>
        <w:t>Chapter 7—Explanatory statements</w:t>
      </w:r>
      <w:r>
        <w:rPr>
          <w:noProof/>
        </w:rPr>
        <w:tab/>
      </w:r>
      <w:r>
        <w:rPr>
          <w:noProof/>
        </w:rPr>
        <w:fldChar w:fldCharType="begin"/>
      </w:r>
      <w:r>
        <w:rPr>
          <w:noProof/>
        </w:rPr>
        <w:instrText xml:space="preserve"> PAGEREF _Toc238117566 \h </w:instrText>
      </w:r>
      <w:r>
        <w:rPr>
          <w:noProof/>
        </w:rPr>
      </w:r>
      <w:r>
        <w:rPr>
          <w:noProof/>
        </w:rPr>
        <w:fldChar w:fldCharType="separate"/>
      </w:r>
      <w:r>
        <w:rPr>
          <w:noProof/>
        </w:rPr>
        <w:t>52</w:t>
      </w:r>
      <w:r>
        <w:rPr>
          <w:noProof/>
        </w:rPr>
        <w:fldChar w:fldCharType="end"/>
      </w:r>
    </w:p>
    <w:p w14:paraId="5FB87FB3" w14:textId="77777777" w:rsidR="00E86304" w:rsidRDefault="00E86304" w:rsidP="00E86304">
      <w:pPr>
        <w:pStyle w:val="TOC3"/>
        <w:rPr>
          <w:rFonts w:asciiTheme="minorHAnsi" w:eastAsiaTheme="minorEastAsia" w:hAnsiTheme="minorHAnsi" w:cstheme="minorBidi"/>
          <w:b w:val="0"/>
          <w:noProof/>
          <w:kern w:val="2"/>
          <w:sz w:val="24"/>
          <w:szCs w:val="24"/>
          <w14:ligatures w14:val="standardContextual"/>
        </w:rPr>
      </w:pPr>
      <w:r>
        <w:rPr>
          <w:noProof/>
        </w:rPr>
        <w:t>General</w:t>
      </w:r>
      <w:r>
        <w:rPr>
          <w:noProof/>
        </w:rPr>
        <w:tab/>
      </w:r>
      <w:r>
        <w:rPr>
          <w:noProof/>
        </w:rPr>
        <w:tab/>
      </w:r>
      <w:r>
        <w:rPr>
          <w:noProof/>
        </w:rPr>
        <w:fldChar w:fldCharType="begin"/>
      </w:r>
      <w:r>
        <w:rPr>
          <w:noProof/>
        </w:rPr>
        <w:instrText xml:space="preserve"> PAGEREF _Toc238117567 \h </w:instrText>
      </w:r>
      <w:r>
        <w:rPr>
          <w:noProof/>
        </w:rPr>
      </w:r>
      <w:r>
        <w:rPr>
          <w:noProof/>
        </w:rPr>
        <w:fldChar w:fldCharType="separate"/>
      </w:r>
      <w:r>
        <w:rPr>
          <w:noProof/>
        </w:rPr>
        <w:t>52</w:t>
      </w:r>
      <w:r>
        <w:rPr>
          <w:noProof/>
        </w:rPr>
        <w:fldChar w:fldCharType="end"/>
      </w:r>
    </w:p>
    <w:p w14:paraId="4407DFE7" w14:textId="77777777" w:rsidR="00E86304" w:rsidRDefault="00E86304" w:rsidP="00E86304">
      <w:pPr>
        <w:pStyle w:val="TOC3"/>
        <w:rPr>
          <w:rFonts w:asciiTheme="minorHAnsi" w:eastAsiaTheme="minorEastAsia" w:hAnsiTheme="minorHAnsi" w:cstheme="minorBidi"/>
          <w:b w:val="0"/>
          <w:noProof/>
          <w:kern w:val="2"/>
          <w:sz w:val="24"/>
          <w:szCs w:val="24"/>
          <w14:ligatures w14:val="standardContextual"/>
        </w:rPr>
      </w:pPr>
      <w:r>
        <w:rPr>
          <w:noProof/>
        </w:rPr>
        <w:t>Responsibility for approving explanatory statements</w:t>
      </w:r>
      <w:r>
        <w:rPr>
          <w:noProof/>
        </w:rPr>
        <w:tab/>
      </w:r>
      <w:r>
        <w:rPr>
          <w:noProof/>
        </w:rPr>
        <w:fldChar w:fldCharType="begin"/>
      </w:r>
      <w:r>
        <w:rPr>
          <w:noProof/>
        </w:rPr>
        <w:instrText xml:space="preserve"> PAGEREF _Toc238117568 \h </w:instrText>
      </w:r>
      <w:r>
        <w:rPr>
          <w:noProof/>
        </w:rPr>
      </w:r>
      <w:r>
        <w:rPr>
          <w:noProof/>
        </w:rPr>
        <w:fldChar w:fldCharType="separate"/>
      </w:r>
      <w:r>
        <w:rPr>
          <w:noProof/>
        </w:rPr>
        <w:t>52</w:t>
      </w:r>
      <w:r>
        <w:rPr>
          <w:noProof/>
        </w:rPr>
        <w:fldChar w:fldCharType="end"/>
      </w:r>
    </w:p>
    <w:p w14:paraId="7D256DA4" w14:textId="77777777" w:rsidR="00E86304" w:rsidRDefault="00E86304" w:rsidP="00E86304">
      <w:pPr>
        <w:pStyle w:val="TOC3"/>
        <w:rPr>
          <w:rFonts w:asciiTheme="minorHAnsi" w:eastAsiaTheme="minorEastAsia" w:hAnsiTheme="minorHAnsi" w:cstheme="minorBidi"/>
          <w:b w:val="0"/>
          <w:noProof/>
          <w:kern w:val="2"/>
          <w:sz w:val="24"/>
          <w:szCs w:val="24"/>
          <w14:ligatures w14:val="standardContextual"/>
        </w:rPr>
      </w:pPr>
      <w:r>
        <w:rPr>
          <w:noProof/>
        </w:rPr>
        <w:t>Content of explanatory statements</w:t>
      </w:r>
      <w:r>
        <w:rPr>
          <w:noProof/>
        </w:rPr>
        <w:tab/>
      </w:r>
      <w:r>
        <w:rPr>
          <w:noProof/>
        </w:rPr>
        <w:fldChar w:fldCharType="begin"/>
      </w:r>
      <w:r>
        <w:rPr>
          <w:noProof/>
        </w:rPr>
        <w:instrText xml:space="preserve"> PAGEREF _Toc238117569 \h </w:instrText>
      </w:r>
      <w:r>
        <w:rPr>
          <w:noProof/>
        </w:rPr>
      </w:r>
      <w:r>
        <w:rPr>
          <w:noProof/>
        </w:rPr>
        <w:fldChar w:fldCharType="separate"/>
      </w:r>
      <w:r>
        <w:rPr>
          <w:noProof/>
        </w:rPr>
        <w:t>53</w:t>
      </w:r>
      <w:r>
        <w:rPr>
          <w:noProof/>
        </w:rPr>
        <w:fldChar w:fldCharType="end"/>
      </w:r>
    </w:p>
    <w:p w14:paraId="1FEC2CC8" w14:textId="77777777" w:rsidR="00E86304" w:rsidRDefault="00E86304" w:rsidP="00E86304">
      <w:pPr>
        <w:pStyle w:val="TOC3"/>
        <w:rPr>
          <w:rFonts w:asciiTheme="minorHAnsi" w:eastAsiaTheme="minorEastAsia" w:hAnsiTheme="minorHAnsi" w:cstheme="minorBidi"/>
          <w:b w:val="0"/>
          <w:noProof/>
          <w:kern w:val="2"/>
          <w:sz w:val="24"/>
          <w:szCs w:val="24"/>
          <w14:ligatures w14:val="standardContextual"/>
        </w:rPr>
      </w:pPr>
      <w:r>
        <w:rPr>
          <w:noProof/>
        </w:rPr>
        <w:t>Other content considerations</w:t>
      </w:r>
      <w:r>
        <w:rPr>
          <w:noProof/>
        </w:rPr>
        <w:tab/>
      </w:r>
      <w:r>
        <w:rPr>
          <w:noProof/>
        </w:rPr>
        <w:fldChar w:fldCharType="begin"/>
      </w:r>
      <w:r>
        <w:rPr>
          <w:noProof/>
        </w:rPr>
        <w:instrText xml:space="preserve"> PAGEREF _Toc238117570 \h </w:instrText>
      </w:r>
      <w:r>
        <w:rPr>
          <w:noProof/>
        </w:rPr>
      </w:r>
      <w:r>
        <w:rPr>
          <w:noProof/>
        </w:rPr>
        <w:fldChar w:fldCharType="separate"/>
      </w:r>
      <w:r>
        <w:rPr>
          <w:noProof/>
        </w:rPr>
        <w:t>55</w:t>
      </w:r>
      <w:r>
        <w:rPr>
          <w:noProof/>
        </w:rPr>
        <w:fldChar w:fldCharType="end"/>
      </w:r>
    </w:p>
    <w:p w14:paraId="427EC667" w14:textId="77777777" w:rsidR="00E86304" w:rsidRDefault="00E86304" w:rsidP="00E86304">
      <w:pPr>
        <w:pStyle w:val="TOC3"/>
        <w:rPr>
          <w:rFonts w:asciiTheme="minorHAnsi" w:eastAsiaTheme="minorEastAsia" w:hAnsiTheme="minorHAnsi" w:cstheme="minorBidi"/>
          <w:b w:val="0"/>
          <w:noProof/>
          <w:kern w:val="2"/>
          <w:sz w:val="24"/>
          <w:szCs w:val="24"/>
          <w14:ligatures w14:val="standardContextual"/>
        </w:rPr>
      </w:pPr>
      <w:r>
        <w:rPr>
          <w:noProof/>
        </w:rPr>
        <w:t>Consequences of failure to provide explanatory statements on time</w:t>
      </w:r>
      <w:r>
        <w:rPr>
          <w:noProof/>
        </w:rPr>
        <w:tab/>
      </w:r>
      <w:r>
        <w:rPr>
          <w:noProof/>
        </w:rPr>
        <w:fldChar w:fldCharType="begin"/>
      </w:r>
      <w:r>
        <w:rPr>
          <w:noProof/>
        </w:rPr>
        <w:instrText xml:space="preserve"> PAGEREF _Toc238117571 \h </w:instrText>
      </w:r>
      <w:r>
        <w:rPr>
          <w:noProof/>
        </w:rPr>
      </w:r>
      <w:r>
        <w:rPr>
          <w:noProof/>
        </w:rPr>
        <w:fldChar w:fldCharType="separate"/>
      </w:r>
      <w:r>
        <w:rPr>
          <w:noProof/>
        </w:rPr>
        <w:t>59</w:t>
      </w:r>
      <w:r>
        <w:rPr>
          <w:noProof/>
        </w:rPr>
        <w:fldChar w:fldCharType="end"/>
      </w:r>
    </w:p>
    <w:p w14:paraId="148E3DC7" w14:textId="77777777" w:rsidR="00E86304" w:rsidRDefault="00E86304" w:rsidP="00E86304">
      <w:pPr>
        <w:pStyle w:val="TOC3"/>
        <w:rPr>
          <w:rFonts w:asciiTheme="minorHAnsi" w:eastAsiaTheme="minorEastAsia" w:hAnsiTheme="minorHAnsi" w:cstheme="minorBidi"/>
          <w:b w:val="0"/>
          <w:noProof/>
          <w:kern w:val="2"/>
          <w:sz w:val="24"/>
          <w:szCs w:val="24"/>
          <w14:ligatures w14:val="standardContextual"/>
        </w:rPr>
      </w:pPr>
      <w:r>
        <w:rPr>
          <w:noProof/>
        </w:rPr>
        <w:t>If there is a significant error or omission in an explanatory statement</w:t>
      </w:r>
      <w:r>
        <w:rPr>
          <w:noProof/>
        </w:rPr>
        <w:tab/>
      </w:r>
      <w:r>
        <w:rPr>
          <w:noProof/>
        </w:rPr>
        <w:fldChar w:fldCharType="begin"/>
      </w:r>
      <w:r>
        <w:rPr>
          <w:noProof/>
        </w:rPr>
        <w:instrText xml:space="preserve"> PAGEREF _Toc238117572 \h </w:instrText>
      </w:r>
      <w:r>
        <w:rPr>
          <w:noProof/>
        </w:rPr>
      </w:r>
      <w:r>
        <w:rPr>
          <w:noProof/>
        </w:rPr>
        <w:fldChar w:fldCharType="separate"/>
      </w:r>
      <w:r>
        <w:rPr>
          <w:noProof/>
        </w:rPr>
        <w:t>59</w:t>
      </w:r>
      <w:r>
        <w:rPr>
          <w:noProof/>
        </w:rPr>
        <w:fldChar w:fldCharType="end"/>
      </w:r>
    </w:p>
    <w:p w14:paraId="2FE4C566" w14:textId="77777777" w:rsidR="00E86304" w:rsidRDefault="00E86304" w:rsidP="00E86304">
      <w:pPr>
        <w:pStyle w:val="TOC3"/>
        <w:rPr>
          <w:rFonts w:asciiTheme="minorHAnsi" w:eastAsiaTheme="minorEastAsia" w:hAnsiTheme="minorHAnsi" w:cstheme="minorBidi"/>
          <w:b w:val="0"/>
          <w:noProof/>
          <w:kern w:val="2"/>
          <w:sz w:val="24"/>
          <w:szCs w:val="24"/>
          <w14:ligatures w14:val="standardContextual"/>
        </w:rPr>
      </w:pPr>
      <w:r>
        <w:rPr>
          <w:noProof/>
        </w:rPr>
        <w:t>Supporting material</w:t>
      </w:r>
      <w:r>
        <w:rPr>
          <w:noProof/>
        </w:rPr>
        <w:tab/>
      </w:r>
      <w:r>
        <w:rPr>
          <w:noProof/>
        </w:rPr>
        <w:fldChar w:fldCharType="begin"/>
      </w:r>
      <w:r>
        <w:rPr>
          <w:noProof/>
        </w:rPr>
        <w:instrText xml:space="preserve"> PAGEREF _Toc238117573 \h </w:instrText>
      </w:r>
      <w:r>
        <w:rPr>
          <w:noProof/>
        </w:rPr>
      </w:r>
      <w:r>
        <w:rPr>
          <w:noProof/>
        </w:rPr>
        <w:fldChar w:fldCharType="separate"/>
      </w:r>
      <w:r>
        <w:rPr>
          <w:noProof/>
        </w:rPr>
        <w:t>60</w:t>
      </w:r>
      <w:r>
        <w:rPr>
          <w:noProof/>
        </w:rPr>
        <w:fldChar w:fldCharType="end"/>
      </w:r>
    </w:p>
    <w:p w14:paraId="7675A62E" w14:textId="77777777" w:rsidR="00E86304" w:rsidRDefault="00E86304" w:rsidP="00E86304">
      <w:pPr>
        <w:pStyle w:val="TOC2"/>
        <w:rPr>
          <w:rFonts w:asciiTheme="minorHAnsi" w:eastAsiaTheme="minorEastAsia" w:hAnsiTheme="minorHAnsi" w:cstheme="minorBidi"/>
          <w:b w:val="0"/>
          <w:noProof/>
          <w:kern w:val="2"/>
          <w:szCs w:val="24"/>
          <w14:ligatures w14:val="standardContextual"/>
        </w:rPr>
      </w:pPr>
      <w:r>
        <w:rPr>
          <w:noProof/>
        </w:rPr>
        <w:t>Chapter 8—Parliamentary scrutiny (disallowance) processes</w:t>
      </w:r>
      <w:r>
        <w:rPr>
          <w:noProof/>
        </w:rPr>
        <w:tab/>
      </w:r>
      <w:r>
        <w:rPr>
          <w:noProof/>
        </w:rPr>
        <w:fldChar w:fldCharType="begin"/>
      </w:r>
      <w:r>
        <w:rPr>
          <w:noProof/>
        </w:rPr>
        <w:instrText xml:space="preserve"> PAGEREF _Toc238117574 \h </w:instrText>
      </w:r>
      <w:r>
        <w:rPr>
          <w:noProof/>
        </w:rPr>
      </w:r>
      <w:r>
        <w:rPr>
          <w:noProof/>
        </w:rPr>
        <w:fldChar w:fldCharType="separate"/>
      </w:r>
      <w:r>
        <w:rPr>
          <w:noProof/>
        </w:rPr>
        <w:t>61</w:t>
      </w:r>
      <w:r>
        <w:rPr>
          <w:noProof/>
        </w:rPr>
        <w:fldChar w:fldCharType="end"/>
      </w:r>
    </w:p>
    <w:p w14:paraId="1A752188" w14:textId="77777777" w:rsidR="00E86304" w:rsidRDefault="00E86304" w:rsidP="00E86304">
      <w:pPr>
        <w:pStyle w:val="TOC3"/>
        <w:rPr>
          <w:rFonts w:asciiTheme="minorHAnsi" w:eastAsiaTheme="minorEastAsia" w:hAnsiTheme="minorHAnsi" w:cstheme="minorBidi"/>
          <w:b w:val="0"/>
          <w:noProof/>
          <w:kern w:val="2"/>
          <w:sz w:val="24"/>
          <w:szCs w:val="24"/>
          <w14:ligatures w14:val="standardContextual"/>
        </w:rPr>
      </w:pPr>
      <w:r>
        <w:rPr>
          <w:noProof/>
        </w:rPr>
        <w:t>Background</w:t>
      </w:r>
      <w:r>
        <w:rPr>
          <w:noProof/>
        </w:rPr>
        <w:tab/>
      </w:r>
      <w:r>
        <w:rPr>
          <w:noProof/>
        </w:rPr>
        <w:tab/>
      </w:r>
      <w:r>
        <w:rPr>
          <w:noProof/>
        </w:rPr>
        <w:fldChar w:fldCharType="begin"/>
      </w:r>
      <w:r>
        <w:rPr>
          <w:noProof/>
        </w:rPr>
        <w:instrText xml:space="preserve"> PAGEREF _Toc238117575 \h </w:instrText>
      </w:r>
      <w:r>
        <w:rPr>
          <w:noProof/>
        </w:rPr>
      </w:r>
      <w:r>
        <w:rPr>
          <w:noProof/>
        </w:rPr>
        <w:fldChar w:fldCharType="separate"/>
      </w:r>
      <w:r>
        <w:rPr>
          <w:noProof/>
        </w:rPr>
        <w:t>61</w:t>
      </w:r>
      <w:r>
        <w:rPr>
          <w:noProof/>
        </w:rPr>
        <w:fldChar w:fldCharType="end"/>
      </w:r>
    </w:p>
    <w:p w14:paraId="1A942AC3" w14:textId="77777777" w:rsidR="00E86304" w:rsidRDefault="00E86304" w:rsidP="00E86304">
      <w:pPr>
        <w:pStyle w:val="TOC3"/>
        <w:rPr>
          <w:rFonts w:asciiTheme="minorHAnsi" w:eastAsiaTheme="minorEastAsia" w:hAnsiTheme="minorHAnsi" w:cstheme="minorBidi"/>
          <w:b w:val="0"/>
          <w:noProof/>
          <w:kern w:val="2"/>
          <w:sz w:val="24"/>
          <w:szCs w:val="24"/>
          <w14:ligatures w14:val="standardContextual"/>
        </w:rPr>
      </w:pPr>
      <w:r>
        <w:rPr>
          <w:noProof/>
        </w:rPr>
        <w:t>Responsibility for delivering instruments for tabling</w:t>
      </w:r>
      <w:r>
        <w:rPr>
          <w:noProof/>
        </w:rPr>
        <w:tab/>
      </w:r>
      <w:r>
        <w:rPr>
          <w:noProof/>
        </w:rPr>
        <w:fldChar w:fldCharType="begin"/>
      </w:r>
      <w:r>
        <w:rPr>
          <w:noProof/>
        </w:rPr>
        <w:instrText xml:space="preserve"> PAGEREF _Toc238117576 \h </w:instrText>
      </w:r>
      <w:r>
        <w:rPr>
          <w:noProof/>
        </w:rPr>
      </w:r>
      <w:r>
        <w:rPr>
          <w:noProof/>
        </w:rPr>
        <w:fldChar w:fldCharType="separate"/>
      </w:r>
      <w:r>
        <w:rPr>
          <w:noProof/>
        </w:rPr>
        <w:t>62</w:t>
      </w:r>
      <w:r>
        <w:rPr>
          <w:noProof/>
        </w:rPr>
        <w:fldChar w:fldCharType="end"/>
      </w:r>
    </w:p>
    <w:p w14:paraId="413931D6" w14:textId="77777777" w:rsidR="00E86304" w:rsidRDefault="00E86304" w:rsidP="00E86304">
      <w:pPr>
        <w:pStyle w:val="TOC3"/>
        <w:rPr>
          <w:rFonts w:asciiTheme="minorHAnsi" w:eastAsiaTheme="minorEastAsia" w:hAnsiTheme="minorHAnsi" w:cstheme="minorBidi"/>
          <w:b w:val="0"/>
          <w:noProof/>
          <w:kern w:val="2"/>
          <w:sz w:val="24"/>
          <w:szCs w:val="24"/>
          <w14:ligatures w14:val="standardContextual"/>
        </w:rPr>
      </w:pPr>
      <w:r>
        <w:rPr>
          <w:noProof/>
        </w:rPr>
        <w:t>Disallowance</w:t>
      </w:r>
      <w:r>
        <w:rPr>
          <w:noProof/>
        </w:rPr>
        <w:tab/>
      </w:r>
      <w:r>
        <w:rPr>
          <w:noProof/>
        </w:rPr>
        <w:fldChar w:fldCharType="begin"/>
      </w:r>
      <w:r>
        <w:rPr>
          <w:noProof/>
        </w:rPr>
        <w:instrText xml:space="preserve"> PAGEREF _Toc238117577 \h </w:instrText>
      </w:r>
      <w:r>
        <w:rPr>
          <w:noProof/>
        </w:rPr>
      </w:r>
      <w:r>
        <w:rPr>
          <w:noProof/>
        </w:rPr>
        <w:fldChar w:fldCharType="separate"/>
      </w:r>
      <w:r>
        <w:rPr>
          <w:noProof/>
        </w:rPr>
        <w:t>64</w:t>
      </w:r>
      <w:r>
        <w:rPr>
          <w:noProof/>
        </w:rPr>
        <w:fldChar w:fldCharType="end"/>
      </w:r>
    </w:p>
    <w:p w14:paraId="4A39C505" w14:textId="77777777" w:rsidR="00E86304" w:rsidRDefault="00E86304" w:rsidP="00E86304">
      <w:pPr>
        <w:pStyle w:val="TOC3"/>
        <w:rPr>
          <w:rFonts w:asciiTheme="minorHAnsi" w:eastAsiaTheme="minorEastAsia" w:hAnsiTheme="minorHAnsi" w:cstheme="minorBidi"/>
          <w:b w:val="0"/>
          <w:noProof/>
          <w:kern w:val="2"/>
          <w:sz w:val="24"/>
          <w:szCs w:val="24"/>
          <w14:ligatures w14:val="standardContextual"/>
        </w:rPr>
      </w:pPr>
      <w:r>
        <w:rPr>
          <w:noProof/>
        </w:rPr>
        <w:t>Restrictions on remaking instruments before and after tabling</w:t>
      </w:r>
      <w:r>
        <w:rPr>
          <w:noProof/>
        </w:rPr>
        <w:tab/>
      </w:r>
      <w:r>
        <w:rPr>
          <w:noProof/>
        </w:rPr>
        <w:fldChar w:fldCharType="begin"/>
      </w:r>
      <w:r>
        <w:rPr>
          <w:noProof/>
        </w:rPr>
        <w:instrText xml:space="preserve"> PAGEREF _Toc238117578 \h </w:instrText>
      </w:r>
      <w:r>
        <w:rPr>
          <w:noProof/>
        </w:rPr>
      </w:r>
      <w:r>
        <w:rPr>
          <w:noProof/>
        </w:rPr>
        <w:fldChar w:fldCharType="separate"/>
      </w:r>
      <w:r>
        <w:rPr>
          <w:noProof/>
        </w:rPr>
        <w:t>66</w:t>
      </w:r>
      <w:r>
        <w:rPr>
          <w:noProof/>
        </w:rPr>
        <w:fldChar w:fldCharType="end"/>
      </w:r>
    </w:p>
    <w:p w14:paraId="25482856" w14:textId="77777777" w:rsidR="00E86304" w:rsidRDefault="00E86304" w:rsidP="00E86304">
      <w:pPr>
        <w:pStyle w:val="TOC2"/>
        <w:rPr>
          <w:rFonts w:asciiTheme="minorHAnsi" w:eastAsiaTheme="minorEastAsia" w:hAnsiTheme="minorHAnsi" w:cstheme="minorBidi"/>
          <w:b w:val="0"/>
          <w:noProof/>
          <w:kern w:val="2"/>
          <w:szCs w:val="24"/>
          <w14:ligatures w14:val="standardContextual"/>
        </w:rPr>
      </w:pPr>
      <w:r>
        <w:rPr>
          <w:noProof/>
        </w:rPr>
        <w:t>Chapter 9—Sunsetting</w:t>
      </w:r>
      <w:r>
        <w:rPr>
          <w:noProof/>
        </w:rPr>
        <w:tab/>
      </w:r>
      <w:r>
        <w:rPr>
          <w:noProof/>
        </w:rPr>
        <w:fldChar w:fldCharType="begin"/>
      </w:r>
      <w:r>
        <w:rPr>
          <w:noProof/>
        </w:rPr>
        <w:instrText xml:space="preserve"> PAGEREF _Toc238117579 \h </w:instrText>
      </w:r>
      <w:r>
        <w:rPr>
          <w:noProof/>
        </w:rPr>
      </w:r>
      <w:r>
        <w:rPr>
          <w:noProof/>
        </w:rPr>
        <w:fldChar w:fldCharType="separate"/>
      </w:r>
      <w:r>
        <w:rPr>
          <w:noProof/>
        </w:rPr>
        <w:t>68</w:t>
      </w:r>
      <w:r>
        <w:rPr>
          <w:noProof/>
        </w:rPr>
        <w:fldChar w:fldCharType="end"/>
      </w:r>
    </w:p>
    <w:p w14:paraId="5C4024B6" w14:textId="77777777" w:rsidR="00E86304" w:rsidRDefault="00E86304" w:rsidP="00E86304">
      <w:pPr>
        <w:pStyle w:val="TOC3"/>
        <w:rPr>
          <w:rFonts w:asciiTheme="minorHAnsi" w:eastAsiaTheme="minorEastAsia" w:hAnsiTheme="minorHAnsi" w:cstheme="minorBidi"/>
          <w:b w:val="0"/>
          <w:noProof/>
          <w:kern w:val="2"/>
          <w:sz w:val="24"/>
          <w:szCs w:val="24"/>
          <w14:ligatures w14:val="standardContextual"/>
        </w:rPr>
      </w:pPr>
      <w:r>
        <w:rPr>
          <w:noProof/>
        </w:rPr>
        <w:t>Background</w:t>
      </w:r>
      <w:r>
        <w:rPr>
          <w:noProof/>
        </w:rPr>
        <w:tab/>
      </w:r>
      <w:r>
        <w:rPr>
          <w:noProof/>
        </w:rPr>
        <w:tab/>
      </w:r>
      <w:r>
        <w:rPr>
          <w:noProof/>
        </w:rPr>
        <w:fldChar w:fldCharType="begin"/>
      </w:r>
      <w:r>
        <w:rPr>
          <w:noProof/>
        </w:rPr>
        <w:instrText xml:space="preserve"> PAGEREF _Toc238117580 \h </w:instrText>
      </w:r>
      <w:r>
        <w:rPr>
          <w:noProof/>
        </w:rPr>
      </w:r>
      <w:r>
        <w:rPr>
          <w:noProof/>
        </w:rPr>
        <w:fldChar w:fldCharType="separate"/>
      </w:r>
      <w:r>
        <w:rPr>
          <w:noProof/>
        </w:rPr>
        <w:t>68</w:t>
      </w:r>
      <w:r>
        <w:rPr>
          <w:noProof/>
        </w:rPr>
        <w:fldChar w:fldCharType="end"/>
      </w:r>
    </w:p>
    <w:p w14:paraId="23CD402C" w14:textId="77777777" w:rsidR="00E86304" w:rsidRDefault="00E86304" w:rsidP="00E86304">
      <w:pPr>
        <w:pStyle w:val="TOC3"/>
        <w:rPr>
          <w:rFonts w:asciiTheme="minorHAnsi" w:eastAsiaTheme="minorEastAsia" w:hAnsiTheme="minorHAnsi" w:cstheme="minorBidi"/>
          <w:b w:val="0"/>
          <w:noProof/>
          <w:kern w:val="2"/>
          <w:sz w:val="24"/>
          <w:szCs w:val="24"/>
          <w14:ligatures w14:val="standardContextual"/>
        </w:rPr>
      </w:pPr>
      <w:r>
        <w:rPr>
          <w:noProof/>
        </w:rPr>
        <w:t>How sunsetting works</w:t>
      </w:r>
      <w:r>
        <w:rPr>
          <w:noProof/>
        </w:rPr>
        <w:tab/>
      </w:r>
      <w:r>
        <w:rPr>
          <w:noProof/>
        </w:rPr>
        <w:fldChar w:fldCharType="begin"/>
      </w:r>
      <w:r>
        <w:rPr>
          <w:noProof/>
        </w:rPr>
        <w:instrText xml:space="preserve"> PAGEREF _Toc238117581 \h </w:instrText>
      </w:r>
      <w:r>
        <w:rPr>
          <w:noProof/>
        </w:rPr>
      </w:r>
      <w:r>
        <w:rPr>
          <w:noProof/>
        </w:rPr>
        <w:fldChar w:fldCharType="separate"/>
      </w:r>
      <w:r>
        <w:rPr>
          <w:noProof/>
        </w:rPr>
        <w:t>69</w:t>
      </w:r>
      <w:r>
        <w:rPr>
          <w:noProof/>
        </w:rPr>
        <w:fldChar w:fldCharType="end"/>
      </w:r>
    </w:p>
    <w:p w14:paraId="14239A99" w14:textId="77777777" w:rsidR="00E86304" w:rsidRDefault="00E86304" w:rsidP="00E86304">
      <w:pPr>
        <w:pStyle w:val="TOC3"/>
        <w:rPr>
          <w:rFonts w:asciiTheme="minorHAnsi" w:eastAsiaTheme="minorEastAsia" w:hAnsiTheme="minorHAnsi" w:cstheme="minorBidi"/>
          <w:b w:val="0"/>
          <w:noProof/>
          <w:kern w:val="2"/>
          <w:sz w:val="24"/>
          <w:szCs w:val="24"/>
          <w14:ligatures w14:val="standardContextual"/>
        </w:rPr>
      </w:pPr>
      <w:r>
        <w:rPr>
          <w:noProof/>
        </w:rPr>
        <w:t>What to do about sunsetting</w:t>
      </w:r>
      <w:r>
        <w:rPr>
          <w:noProof/>
        </w:rPr>
        <w:tab/>
      </w:r>
      <w:r>
        <w:rPr>
          <w:noProof/>
        </w:rPr>
        <w:fldChar w:fldCharType="begin"/>
      </w:r>
      <w:r>
        <w:rPr>
          <w:noProof/>
        </w:rPr>
        <w:instrText xml:space="preserve"> PAGEREF _Toc238117582 \h </w:instrText>
      </w:r>
      <w:r>
        <w:rPr>
          <w:noProof/>
        </w:rPr>
      </w:r>
      <w:r>
        <w:rPr>
          <w:noProof/>
        </w:rPr>
        <w:fldChar w:fldCharType="separate"/>
      </w:r>
      <w:r>
        <w:rPr>
          <w:noProof/>
        </w:rPr>
        <w:t>71</w:t>
      </w:r>
      <w:r>
        <w:rPr>
          <w:noProof/>
        </w:rPr>
        <w:fldChar w:fldCharType="end"/>
      </w:r>
    </w:p>
    <w:p w14:paraId="34EEA56B" w14:textId="77777777" w:rsidR="00E86304" w:rsidRDefault="00E86304" w:rsidP="00E86304">
      <w:pPr>
        <w:pStyle w:val="TOC3"/>
        <w:rPr>
          <w:rFonts w:asciiTheme="minorHAnsi" w:eastAsiaTheme="minorEastAsia" w:hAnsiTheme="minorHAnsi" w:cstheme="minorBidi"/>
          <w:b w:val="0"/>
          <w:noProof/>
          <w:kern w:val="2"/>
          <w:sz w:val="24"/>
          <w:szCs w:val="24"/>
          <w14:ligatures w14:val="standardContextual"/>
        </w:rPr>
      </w:pPr>
      <w:r>
        <w:rPr>
          <w:noProof/>
        </w:rPr>
        <w:t>Scope to negotiate minor changes in sunset date</w:t>
      </w:r>
      <w:r>
        <w:rPr>
          <w:noProof/>
        </w:rPr>
        <w:tab/>
      </w:r>
      <w:r>
        <w:rPr>
          <w:noProof/>
        </w:rPr>
        <w:fldChar w:fldCharType="begin"/>
      </w:r>
      <w:r>
        <w:rPr>
          <w:noProof/>
        </w:rPr>
        <w:instrText xml:space="preserve"> PAGEREF _Toc238117583 \h </w:instrText>
      </w:r>
      <w:r>
        <w:rPr>
          <w:noProof/>
        </w:rPr>
      </w:r>
      <w:r>
        <w:rPr>
          <w:noProof/>
        </w:rPr>
        <w:fldChar w:fldCharType="separate"/>
      </w:r>
      <w:r>
        <w:rPr>
          <w:noProof/>
        </w:rPr>
        <w:t>72</w:t>
      </w:r>
      <w:r>
        <w:rPr>
          <w:noProof/>
        </w:rPr>
        <w:fldChar w:fldCharType="end"/>
      </w:r>
    </w:p>
    <w:p w14:paraId="424CB870" w14:textId="77777777" w:rsidR="00E86304" w:rsidRDefault="00E86304" w:rsidP="00E86304">
      <w:pPr>
        <w:pStyle w:val="TOC3"/>
        <w:rPr>
          <w:rFonts w:asciiTheme="minorHAnsi" w:eastAsiaTheme="minorEastAsia" w:hAnsiTheme="minorHAnsi" w:cstheme="minorBidi"/>
          <w:b w:val="0"/>
          <w:noProof/>
          <w:kern w:val="2"/>
          <w:sz w:val="24"/>
          <w:szCs w:val="24"/>
          <w14:ligatures w14:val="standardContextual"/>
        </w:rPr>
      </w:pPr>
      <w:r>
        <w:rPr>
          <w:noProof/>
        </w:rPr>
        <w:t>Parliamentary “rollovers”</w:t>
      </w:r>
      <w:r>
        <w:rPr>
          <w:noProof/>
        </w:rPr>
        <w:tab/>
      </w:r>
      <w:r>
        <w:rPr>
          <w:noProof/>
        </w:rPr>
        <w:fldChar w:fldCharType="begin"/>
      </w:r>
      <w:r>
        <w:rPr>
          <w:noProof/>
        </w:rPr>
        <w:instrText xml:space="preserve"> PAGEREF _Toc238117584 \h </w:instrText>
      </w:r>
      <w:r>
        <w:rPr>
          <w:noProof/>
        </w:rPr>
      </w:r>
      <w:r>
        <w:rPr>
          <w:noProof/>
        </w:rPr>
        <w:fldChar w:fldCharType="separate"/>
      </w:r>
      <w:r>
        <w:rPr>
          <w:noProof/>
        </w:rPr>
        <w:t>73</w:t>
      </w:r>
      <w:r>
        <w:rPr>
          <w:noProof/>
        </w:rPr>
        <w:fldChar w:fldCharType="end"/>
      </w:r>
    </w:p>
    <w:p w14:paraId="144C6DDE" w14:textId="77777777" w:rsidR="00E86304" w:rsidRDefault="00E86304" w:rsidP="00E86304">
      <w:pPr>
        <w:pStyle w:val="TOC3"/>
        <w:rPr>
          <w:rFonts w:asciiTheme="minorHAnsi" w:eastAsiaTheme="minorEastAsia" w:hAnsiTheme="minorHAnsi" w:cstheme="minorBidi"/>
          <w:b w:val="0"/>
          <w:noProof/>
          <w:kern w:val="2"/>
          <w:sz w:val="24"/>
          <w:szCs w:val="24"/>
          <w14:ligatures w14:val="standardContextual"/>
        </w:rPr>
      </w:pPr>
      <w:r>
        <w:rPr>
          <w:noProof/>
        </w:rPr>
        <w:t>Replacement of sunsetting instruments (if required)</w:t>
      </w:r>
      <w:r>
        <w:rPr>
          <w:noProof/>
        </w:rPr>
        <w:tab/>
      </w:r>
      <w:r>
        <w:rPr>
          <w:noProof/>
        </w:rPr>
        <w:fldChar w:fldCharType="begin"/>
      </w:r>
      <w:r>
        <w:rPr>
          <w:noProof/>
        </w:rPr>
        <w:instrText xml:space="preserve"> PAGEREF _Toc238117585 \h </w:instrText>
      </w:r>
      <w:r>
        <w:rPr>
          <w:noProof/>
        </w:rPr>
      </w:r>
      <w:r>
        <w:rPr>
          <w:noProof/>
        </w:rPr>
        <w:fldChar w:fldCharType="separate"/>
      </w:r>
      <w:r>
        <w:rPr>
          <w:noProof/>
        </w:rPr>
        <w:t>75</w:t>
      </w:r>
      <w:r>
        <w:rPr>
          <w:noProof/>
        </w:rPr>
        <w:fldChar w:fldCharType="end"/>
      </w:r>
    </w:p>
    <w:p w14:paraId="531F9492" w14:textId="77777777" w:rsidR="00E86304" w:rsidRDefault="00E86304" w:rsidP="00E86304">
      <w:pPr>
        <w:pStyle w:val="TOC3"/>
        <w:rPr>
          <w:rFonts w:asciiTheme="minorHAnsi" w:eastAsiaTheme="minorEastAsia" w:hAnsiTheme="minorHAnsi" w:cstheme="minorBidi"/>
          <w:b w:val="0"/>
          <w:noProof/>
          <w:kern w:val="2"/>
          <w:sz w:val="24"/>
          <w:szCs w:val="24"/>
          <w14:ligatures w14:val="standardContextual"/>
        </w:rPr>
      </w:pPr>
      <w:r>
        <w:rPr>
          <w:noProof/>
        </w:rPr>
        <w:t>If an instrument cannot be replaced before it sunsets</w:t>
      </w:r>
      <w:r>
        <w:rPr>
          <w:noProof/>
        </w:rPr>
        <w:tab/>
      </w:r>
      <w:r>
        <w:rPr>
          <w:noProof/>
        </w:rPr>
        <w:fldChar w:fldCharType="begin"/>
      </w:r>
      <w:r>
        <w:rPr>
          <w:noProof/>
        </w:rPr>
        <w:instrText xml:space="preserve"> PAGEREF _Toc238117586 \h </w:instrText>
      </w:r>
      <w:r>
        <w:rPr>
          <w:noProof/>
        </w:rPr>
      </w:r>
      <w:r>
        <w:rPr>
          <w:noProof/>
        </w:rPr>
        <w:fldChar w:fldCharType="separate"/>
      </w:r>
      <w:r>
        <w:rPr>
          <w:noProof/>
        </w:rPr>
        <w:t>77</w:t>
      </w:r>
      <w:r>
        <w:rPr>
          <w:noProof/>
        </w:rPr>
        <w:fldChar w:fldCharType="end"/>
      </w:r>
    </w:p>
    <w:p w14:paraId="7D938458" w14:textId="77777777" w:rsidR="00E86304" w:rsidRDefault="00E86304" w:rsidP="00E86304">
      <w:pPr>
        <w:pStyle w:val="TOC2"/>
        <w:rPr>
          <w:rFonts w:asciiTheme="minorHAnsi" w:eastAsiaTheme="minorEastAsia" w:hAnsiTheme="minorHAnsi" w:cstheme="minorBidi"/>
          <w:b w:val="0"/>
          <w:noProof/>
          <w:kern w:val="2"/>
          <w:szCs w:val="24"/>
          <w14:ligatures w14:val="standardContextual"/>
        </w:rPr>
      </w:pPr>
      <w:r>
        <w:rPr>
          <w:noProof/>
        </w:rPr>
        <w:t>Appendix A—Sunsetting Checklist</w:t>
      </w:r>
      <w:r>
        <w:rPr>
          <w:noProof/>
        </w:rPr>
        <w:tab/>
      </w:r>
      <w:r>
        <w:rPr>
          <w:noProof/>
        </w:rPr>
        <w:fldChar w:fldCharType="begin"/>
      </w:r>
      <w:r>
        <w:rPr>
          <w:noProof/>
        </w:rPr>
        <w:instrText xml:space="preserve"> PAGEREF _Toc238117587 \h </w:instrText>
      </w:r>
      <w:r>
        <w:rPr>
          <w:noProof/>
        </w:rPr>
      </w:r>
      <w:r>
        <w:rPr>
          <w:noProof/>
        </w:rPr>
        <w:fldChar w:fldCharType="separate"/>
      </w:r>
      <w:r>
        <w:rPr>
          <w:noProof/>
        </w:rPr>
        <w:t>79</w:t>
      </w:r>
      <w:r>
        <w:rPr>
          <w:noProof/>
        </w:rPr>
        <w:fldChar w:fldCharType="end"/>
      </w:r>
    </w:p>
    <w:p w14:paraId="1F4925F9" w14:textId="77777777" w:rsidR="00E86304" w:rsidRDefault="00E86304" w:rsidP="00E86304">
      <w:pPr>
        <w:pStyle w:val="TOC2"/>
        <w:rPr>
          <w:rFonts w:asciiTheme="minorHAnsi" w:eastAsiaTheme="minorEastAsia" w:hAnsiTheme="minorHAnsi" w:cstheme="minorBidi"/>
          <w:b w:val="0"/>
          <w:noProof/>
          <w:kern w:val="2"/>
          <w:szCs w:val="24"/>
          <w14:ligatures w14:val="standardContextual"/>
        </w:rPr>
      </w:pPr>
      <w:r>
        <w:rPr>
          <w:noProof/>
        </w:rPr>
        <w:t>Further reading</w:t>
      </w:r>
      <w:r>
        <w:rPr>
          <w:noProof/>
        </w:rPr>
        <w:tab/>
      </w:r>
      <w:r>
        <w:rPr>
          <w:noProof/>
        </w:rPr>
        <w:fldChar w:fldCharType="begin"/>
      </w:r>
      <w:r>
        <w:rPr>
          <w:noProof/>
        </w:rPr>
        <w:instrText xml:space="preserve"> PAGEREF _Toc238117588 \h </w:instrText>
      </w:r>
      <w:r>
        <w:rPr>
          <w:noProof/>
        </w:rPr>
      </w:r>
      <w:r>
        <w:rPr>
          <w:noProof/>
        </w:rPr>
        <w:fldChar w:fldCharType="separate"/>
      </w:r>
      <w:r>
        <w:rPr>
          <w:noProof/>
        </w:rPr>
        <w:t>80</w:t>
      </w:r>
      <w:r>
        <w:rPr>
          <w:noProof/>
        </w:rPr>
        <w:fldChar w:fldCharType="end"/>
      </w:r>
    </w:p>
    <w:p w14:paraId="54427AA0" w14:textId="77777777" w:rsidR="00E86304" w:rsidRDefault="00E86304" w:rsidP="00E86304">
      <w:pPr>
        <w:pStyle w:val="TOC3"/>
        <w:rPr>
          <w:rFonts w:asciiTheme="minorHAnsi" w:eastAsiaTheme="minorEastAsia" w:hAnsiTheme="minorHAnsi" w:cstheme="minorBidi"/>
          <w:b w:val="0"/>
          <w:noProof/>
          <w:kern w:val="2"/>
          <w:sz w:val="24"/>
          <w:szCs w:val="24"/>
          <w14:ligatures w14:val="standardContextual"/>
        </w:rPr>
      </w:pPr>
      <w:r>
        <w:rPr>
          <w:noProof/>
        </w:rPr>
        <w:t>Key legislation</w:t>
      </w:r>
      <w:r>
        <w:rPr>
          <w:noProof/>
        </w:rPr>
        <w:tab/>
      </w:r>
      <w:r>
        <w:rPr>
          <w:noProof/>
        </w:rPr>
        <w:fldChar w:fldCharType="begin"/>
      </w:r>
      <w:r>
        <w:rPr>
          <w:noProof/>
        </w:rPr>
        <w:instrText xml:space="preserve"> PAGEREF _Toc238117589 \h </w:instrText>
      </w:r>
      <w:r>
        <w:rPr>
          <w:noProof/>
        </w:rPr>
      </w:r>
      <w:r>
        <w:rPr>
          <w:noProof/>
        </w:rPr>
        <w:fldChar w:fldCharType="separate"/>
      </w:r>
      <w:r>
        <w:rPr>
          <w:noProof/>
        </w:rPr>
        <w:t>80</w:t>
      </w:r>
      <w:r>
        <w:rPr>
          <w:noProof/>
        </w:rPr>
        <w:fldChar w:fldCharType="end"/>
      </w:r>
    </w:p>
    <w:p w14:paraId="15673CAC" w14:textId="77777777" w:rsidR="00E86304" w:rsidRDefault="00E86304" w:rsidP="00E86304">
      <w:pPr>
        <w:pStyle w:val="TOC3"/>
        <w:rPr>
          <w:rFonts w:asciiTheme="minorHAnsi" w:eastAsiaTheme="minorEastAsia" w:hAnsiTheme="minorHAnsi" w:cstheme="minorBidi"/>
          <w:b w:val="0"/>
          <w:noProof/>
          <w:kern w:val="2"/>
          <w:sz w:val="24"/>
          <w:szCs w:val="24"/>
          <w14:ligatures w14:val="standardContextual"/>
        </w:rPr>
      </w:pPr>
      <w:r>
        <w:rPr>
          <w:noProof/>
        </w:rPr>
        <w:t>Guidance material</w:t>
      </w:r>
      <w:r>
        <w:rPr>
          <w:noProof/>
        </w:rPr>
        <w:tab/>
      </w:r>
      <w:r>
        <w:rPr>
          <w:noProof/>
        </w:rPr>
        <w:fldChar w:fldCharType="begin"/>
      </w:r>
      <w:r>
        <w:rPr>
          <w:noProof/>
        </w:rPr>
        <w:instrText xml:space="preserve"> PAGEREF _Toc238117590 \h </w:instrText>
      </w:r>
      <w:r>
        <w:rPr>
          <w:noProof/>
        </w:rPr>
      </w:r>
      <w:r>
        <w:rPr>
          <w:noProof/>
        </w:rPr>
        <w:fldChar w:fldCharType="separate"/>
      </w:r>
      <w:r>
        <w:rPr>
          <w:noProof/>
        </w:rPr>
        <w:t>80</w:t>
      </w:r>
      <w:r>
        <w:rPr>
          <w:noProof/>
        </w:rPr>
        <w:fldChar w:fldCharType="end"/>
      </w:r>
    </w:p>
    <w:p w14:paraId="348F3F38" w14:textId="77777777" w:rsidR="00E86304" w:rsidRDefault="00E86304" w:rsidP="00E86304">
      <w:pPr>
        <w:pStyle w:val="TOC2"/>
        <w:rPr>
          <w:rFonts w:asciiTheme="minorHAnsi" w:eastAsiaTheme="minorEastAsia" w:hAnsiTheme="minorHAnsi" w:cstheme="minorBidi"/>
          <w:b w:val="0"/>
          <w:noProof/>
          <w:kern w:val="2"/>
          <w:szCs w:val="24"/>
          <w14:ligatures w14:val="standardContextual"/>
        </w:rPr>
      </w:pPr>
      <w:r>
        <w:rPr>
          <w:noProof/>
        </w:rPr>
        <w:t>Useful contacts</w:t>
      </w:r>
      <w:r>
        <w:rPr>
          <w:noProof/>
        </w:rPr>
        <w:tab/>
      </w:r>
      <w:r>
        <w:rPr>
          <w:noProof/>
        </w:rPr>
        <w:fldChar w:fldCharType="begin"/>
      </w:r>
      <w:r>
        <w:rPr>
          <w:noProof/>
        </w:rPr>
        <w:instrText xml:space="preserve"> PAGEREF _Toc238117591 \h </w:instrText>
      </w:r>
      <w:r>
        <w:rPr>
          <w:noProof/>
        </w:rPr>
      </w:r>
      <w:r>
        <w:rPr>
          <w:noProof/>
        </w:rPr>
        <w:fldChar w:fldCharType="separate"/>
      </w:r>
      <w:r>
        <w:rPr>
          <w:noProof/>
        </w:rPr>
        <w:t>81</w:t>
      </w:r>
      <w:r>
        <w:rPr>
          <w:noProof/>
        </w:rPr>
        <w:fldChar w:fldCharType="end"/>
      </w:r>
    </w:p>
    <w:p w14:paraId="76790BAD" w14:textId="77777777" w:rsidR="00E86304" w:rsidRDefault="00E86304" w:rsidP="00E86304">
      <w:pPr>
        <w:pStyle w:val="TOC3"/>
        <w:rPr>
          <w:rFonts w:asciiTheme="minorHAnsi" w:eastAsiaTheme="minorEastAsia" w:hAnsiTheme="minorHAnsi" w:cstheme="minorBidi"/>
          <w:b w:val="0"/>
          <w:noProof/>
          <w:kern w:val="2"/>
          <w:sz w:val="24"/>
          <w:szCs w:val="24"/>
          <w14:ligatures w14:val="standardContextual"/>
        </w:rPr>
      </w:pPr>
      <w:r>
        <w:rPr>
          <w:noProof/>
        </w:rPr>
        <w:t>Office of Parliamentary Counsel</w:t>
      </w:r>
      <w:r>
        <w:rPr>
          <w:noProof/>
        </w:rPr>
        <w:tab/>
      </w:r>
      <w:r>
        <w:rPr>
          <w:noProof/>
        </w:rPr>
        <w:fldChar w:fldCharType="begin"/>
      </w:r>
      <w:r>
        <w:rPr>
          <w:noProof/>
        </w:rPr>
        <w:instrText xml:space="preserve"> PAGEREF _Toc238117592 \h </w:instrText>
      </w:r>
      <w:r>
        <w:rPr>
          <w:noProof/>
        </w:rPr>
      </w:r>
      <w:r>
        <w:rPr>
          <w:noProof/>
        </w:rPr>
        <w:fldChar w:fldCharType="separate"/>
      </w:r>
      <w:r>
        <w:rPr>
          <w:noProof/>
        </w:rPr>
        <w:t>81</w:t>
      </w:r>
      <w:r>
        <w:rPr>
          <w:noProof/>
        </w:rPr>
        <w:fldChar w:fldCharType="end"/>
      </w:r>
    </w:p>
    <w:p w14:paraId="1CC1DEDD" w14:textId="77777777" w:rsidR="00E86304" w:rsidRDefault="00E86304" w:rsidP="00E86304">
      <w:pPr>
        <w:pStyle w:val="TOC3"/>
        <w:rPr>
          <w:rFonts w:asciiTheme="minorHAnsi" w:eastAsiaTheme="minorEastAsia" w:hAnsiTheme="minorHAnsi" w:cstheme="minorBidi"/>
          <w:b w:val="0"/>
          <w:noProof/>
          <w:kern w:val="2"/>
          <w:sz w:val="24"/>
          <w:szCs w:val="24"/>
          <w14:ligatures w14:val="standardContextual"/>
        </w:rPr>
      </w:pPr>
      <w:r>
        <w:rPr>
          <w:noProof/>
        </w:rPr>
        <w:t>Table Offices</w:t>
      </w:r>
      <w:r>
        <w:rPr>
          <w:noProof/>
        </w:rPr>
        <w:tab/>
      </w:r>
      <w:r>
        <w:rPr>
          <w:noProof/>
        </w:rPr>
        <w:fldChar w:fldCharType="begin"/>
      </w:r>
      <w:r>
        <w:rPr>
          <w:noProof/>
        </w:rPr>
        <w:instrText xml:space="preserve"> PAGEREF _Toc238117593 \h </w:instrText>
      </w:r>
      <w:r>
        <w:rPr>
          <w:noProof/>
        </w:rPr>
      </w:r>
      <w:r>
        <w:rPr>
          <w:noProof/>
        </w:rPr>
        <w:fldChar w:fldCharType="separate"/>
      </w:r>
      <w:r>
        <w:rPr>
          <w:noProof/>
        </w:rPr>
        <w:t>81</w:t>
      </w:r>
      <w:r>
        <w:rPr>
          <w:noProof/>
        </w:rPr>
        <w:fldChar w:fldCharType="end"/>
      </w:r>
    </w:p>
    <w:p w14:paraId="548F973B" w14:textId="77777777" w:rsidR="00E86304" w:rsidRDefault="00E86304" w:rsidP="00E86304">
      <w:pPr>
        <w:pStyle w:val="TOC3"/>
        <w:rPr>
          <w:rFonts w:asciiTheme="minorHAnsi" w:eastAsiaTheme="minorEastAsia" w:hAnsiTheme="minorHAnsi" w:cstheme="minorBidi"/>
          <w:b w:val="0"/>
          <w:noProof/>
          <w:kern w:val="2"/>
          <w:sz w:val="24"/>
          <w:szCs w:val="24"/>
          <w14:ligatures w14:val="standardContextual"/>
        </w:rPr>
      </w:pPr>
      <w:r>
        <w:rPr>
          <w:noProof/>
        </w:rPr>
        <w:t>Attorney</w:t>
      </w:r>
      <w:r>
        <w:rPr>
          <w:noProof/>
        </w:rPr>
        <w:noBreakHyphen/>
        <w:t>General’s Department</w:t>
      </w:r>
      <w:r>
        <w:rPr>
          <w:noProof/>
        </w:rPr>
        <w:tab/>
      </w:r>
      <w:r>
        <w:rPr>
          <w:noProof/>
        </w:rPr>
        <w:fldChar w:fldCharType="begin"/>
      </w:r>
      <w:r>
        <w:rPr>
          <w:noProof/>
        </w:rPr>
        <w:instrText xml:space="preserve"> PAGEREF _Toc238117594 \h </w:instrText>
      </w:r>
      <w:r>
        <w:rPr>
          <w:noProof/>
        </w:rPr>
      </w:r>
      <w:r>
        <w:rPr>
          <w:noProof/>
        </w:rPr>
        <w:fldChar w:fldCharType="separate"/>
      </w:r>
      <w:r>
        <w:rPr>
          <w:noProof/>
        </w:rPr>
        <w:t>81</w:t>
      </w:r>
      <w:r>
        <w:rPr>
          <w:noProof/>
        </w:rPr>
        <w:fldChar w:fldCharType="end"/>
      </w:r>
    </w:p>
    <w:p w14:paraId="23A98F32" w14:textId="77777777" w:rsidR="00E86304" w:rsidRDefault="00E86304" w:rsidP="00E86304">
      <w:pPr>
        <w:pStyle w:val="TOC3"/>
        <w:rPr>
          <w:rFonts w:asciiTheme="minorHAnsi" w:eastAsiaTheme="minorEastAsia" w:hAnsiTheme="minorHAnsi" w:cstheme="minorBidi"/>
          <w:b w:val="0"/>
          <w:noProof/>
          <w:kern w:val="2"/>
          <w:sz w:val="24"/>
          <w:szCs w:val="24"/>
          <w14:ligatures w14:val="standardContextual"/>
        </w:rPr>
      </w:pPr>
      <w:r>
        <w:rPr>
          <w:noProof/>
        </w:rPr>
        <w:t>Department of the Prime Minister and Cabinet</w:t>
      </w:r>
      <w:r>
        <w:rPr>
          <w:noProof/>
        </w:rPr>
        <w:tab/>
      </w:r>
      <w:r>
        <w:rPr>
          <w:noProof/>
        </w:rPr>
        <w:fldChar w:fldCharType="begin"/>
      </w:r>
      <w:r>
        <w:rPr>
          <w:noProof/>
        </w:rPr>
        <w:instrText xml:space="preserve"> PAGEREF _Toc238117595 \h </w:instrText>
      </w:r>
      <w:r>
        <w:rPr>
          <w:noProof/>
        </w:rPr>
      </w:r>
      <w:r>
        <w:rPr>
          <w:noProof/>
        </w:rPr>
        <w:fldChar w:fldCharType="separate"/>
      </w:r>
      <w:r>
        <w:rPr>
          <w:noProof/>
        </w:rPr>
        <w:t>81</w:t>
      </w:r>
      <w:r>
        <w:rPr>
          <w:noProof/>
        </w:rPr>
        <w:fldChar w:fldCharType="end"/>
      </w:r>
    </w:p>
    <w:p w14:paraId="3AE7460F" w14:textId="77777777" w:rsidR="00E86304" w:rsidRDefault="00E86304" w:rsidP="00E86304">
      <w:pPr>
        <w:pStyle w:val="TOC3"/>
        <w:rPr>
          <w:rFonts w:asciiTheme="minorHAnsi" w:eastAsiaTheme="minorEastAsia" w:hAnsiTheme="minorHAnsi" w:cstheme="minorBidi"/>
          <w:b w:val="0"/>
          <w:noProof/>
          <w:kern w:val="2"/>
          <w:sz w:val="24"/>
          <w:szCs w:val="24"/>
          <w14:ligatures w14:val="standardContextual"/>
        </w:rPr>
      </w:pPr>
      <w:r>
        <w:rPr>
          <w:noProof/>
        </w:rPr>
        <w:t>Parliamentary committees</w:t>
      </w:r>
      <w:r>
        <w:rPr>
          <w:noProof/>
        </w:rPr>
        <w:tab/>
      </w:r>
      <w:r>
        <w:rPr>
          <w:noProof/>
        </w:rPr>
        <w:fldChar w:fldCharType="begin"/>
      </w:r>
      <w:r>
        <w:rPr>
          <w:noProof/>
        </w:rPr>
        <w:instrText xml:space="preserve"> PAGEREF _Toc238117596 \h </w:instrText>
      </w:r>
      <w:r>
        <w:rPr>
          <w:noProof/>
        </w:rPr>
      </w:r>
      <w:r>
        <w:rPr>
          <w:noProof/>
        </w:rPr>
        <w:fldChar w:fldCharType="separate"/>
      </w:r>
      <w:r>
        <w:rPr>
          <w:noProof/>
        </w:rPr>
        <w:t>81</w:t>
      </w:r>
      <w:r>
        <w:rPr>
          <w:noProof/>
        </w:rPr>
        <w:fldChar w:fldCharType="end"/>
      </w:r>
    </w:p>
    <w:p w14:paraId="55777F92" w14:textId="77777777" w:rsidR="00E86304" w:rsidRDefault="00E86304" w:rsidP="00E86304">
      <w:pPr>
        <w:pStyle w:val="TOC2"/>
        <w:rPr>
          <w:rFonts w:asciiTheme="minorHAnsi" w:eastAsiaTheme="minorEastAsia" w:hAnsiTheme="minorHAnsi" w:cstheme="minorBidi"/>
          <w:b w:val="0"/>
          <w:noProof/>
          <w:kern w:val="2"/>
          <w:szCs w:val="24"/>
          <w14:ligatures w14:val="standardContextual"/>
        </w:rPr>
      </w:pPr>
      <w:r>
        <w:rPr>
          <w:noProof/>
        </w:rPr>
        <w:lastRenderedPageBreak/>
        <w:t>Abbreviation key</w:t>
      </w:r>
      <w:r>
        <w:rPr>
          <w:noProof/>
        </w:rPr>
        <w:tab/>
      </w:r>
      <w:r>
        <w:rPr>
          <w:noProof/>
        </w:rPr>
        <w:fldChar w:fldCharType="begin"/>
      </w:r>
      <w:r>
        <w:rPr>
          <w:noProof/>
        </w:rPr>
        <w:instrText xml:space="preserve"> PAGEREF _Toc238117597 \h </w:instrText>
      </w:r>
      <w:r>
        <w:rPr>
          <w:noProof/>
        </w:rPr>
      </w:r>
      <w:r>
        <w:rPr>
          <w:noProof/>
        </w:rPr>
        <w:fldChar w:fldCharType="separate"/>
      </w:r>
      <w:r>
        <w:rPr>
          <w:noProof/>
        </w:rPr>
        <w:t>82</w:t>
      </w:r>
      <w:r>
        <w:rPr>
          <w:noProof/>
        </w:rPr>
        <w:fldChar w:fldCharType="end"/>
      </w:r>
    </w:p>
    <w:p w14:paraId="6465E0E0" w14:textId="77777777" w:rsidR="00E86304" w:rsidRDefault="00E86304" w:rsidP="00E86304">
      <w:pPr>
        <w:pStyle w:val="TOC2"/>
        <w:rPr>
          <w:rFonts w:asciiTheme="minorHAnsi" w:eastAsiaTheme="minorEastAsia" w:hAnsiTheme="minorHAnsi" w:cstheme="minorBidi"/>
          <w:b w:val="0"/>
          <w:noProof/>
          <w:kern w:val="2"/>
          <w:szCs w:val="24"/>
          <w14:ligatures w14:val="standardContextual"/>
        </w:rPr>
      </w:pPr>
      <w:r>
        <w:rPr>
          <w:noProof/>
        </w:rPr>
        <w:t>Document history</w:t>
      </w:r>
      <w:r>
        <w:rPr>
          <w:noProof/>
        </w:rPr>
        <w:tab/>
      </w:r>
      <w:r>
        <w:rPr>
          <w:noProof/>
        </w:rPr>
        <w:fldChar w:fldCharType="begin"/>
      </w:r>
      <w:r>
        <w:rPr>
          <w:noProof/>
        </w:rPr>
        <w:instrText xml:space="preserve"> PAGEREF _Toc238117598 \h </w:instrText>
      </w:r>
      <w:r>
        <w:rPr>
          <w:noProof/>
        </w:rPr>
      </w:r>
      <w:r>
        <w:rPr>
          <w:noProof/>
        </w:rPr>
        <w:fldChar w:fldCharType="separate"/>
      </w:r>
      <w:r>
        <w:rPr>
          <w:noProof/>
        </w:rPr>
        <w:t>83</w:t>
      </w:r>
      <w:r>
        <w:rPr>
          <w:noProof/>
        </w:rPr>
        <w:fldChar w:fldCharType="end"/>
      </w:r>
    </w:p>
    <w:p w14:paraId="3370CD3D" w14:textId="77777777" w:rsidR="00E86304" w:rsidRPr="00FD274F" w:rsidRDefault="00E86304" w:rsidP="00E86304">
      <w:pPr>
        <w:spacing w:line="240" w:lineRule="auto"/>
      </w:pPr>
      <w:r>
        <w:rPr>
          <w:rFonts w:eastAsia="Times New Roman" w:cs="Times New Roman"/>
          <w:kern w:val="28"/>
          <w:sz w:val="24"/>
          <w:lang w:eastAsia="en-AU"/>
        </w:rPr>
        <w:fldChar w:fldCharType="end"/>
      </w:r>
    </w:p>
    <w:p w14:paraId="097E6B2A" w14:textId="77777777" w:rsidR="00E86304" w:rsidRPr="00FD274F" w:rsidRDefault="00E86304" w:rsidP="00E86304">
      <w:pPr>
        <w:pStyle w:val="Head2"/>
        <w:sectPr w:rsidR="00E86304" w:rsidRPr="00FD274F" w:rsidSect="00E86304">
          <w:footerReference w:type="even" r:id="rId17"/>
          <w:footerReference w:type="default" r:id="rId18"/>
          <w:pgSz w:w="11907" w:h="16839" w:code="9"/>
          <w:pgMar w:top="1440" w:right="1440" w:bottom="1440" w:left="1440" w:header="720" w:footer="567" w:gutter="0"/>
          <w:pgNumType w:fmt="lowerRoman" w:start="1"/>
          <w:cols w:sep="1" w:space="567"/>
          <w:titlePg/>
          <w:docGrid w:linePitch="360"/>
        </w:sectPr>
      </w:pPr>
    </w:p>
    <w:p w14:paraId="51E1E11B" w14:textId="77777777" w:rsidR="00E86304" w:rsidRPr="00FD274F" w:rsidRDefault="00E86304" w:rsidP="00E86304">
      <w:pPr>
        <w:pStyle w:val="Head1"/>
      </w:pPr>
      <w:bookmarkStart w:id="7" w:name="_Toc238117520"/>
      <w:bookmarkEnd w:id="6"/>
      <w:r w:rsidRPr="00FD274F">
        <w:lastRenderedPageBreak/>
        <w:t>Part 1—Matters relevant to all instruments</w:t>
      </w:r>
      <w:bookmarkEnd w:id="7"/>
    </w:p>
    <w:p w14:paraId="6185A126" w14:textId="77777777" w:rsidR="00E86304" w:rsidRPr="00FD274F" w:rsidRDefault="00E86304" w:rsidP="00E86304">
      <w:pPr>
        <w:pStyle w:val="Head2"/>
      </w:pPr>
      <w:bookmarkStart w:id="8" w:name="_Toc238117521"/>
      <w:r w:rsidRPr="00FD274F">
        <w:t>Chapter 1—Introduction</w:t>
      </w:r>
      <w:bookmarkEnd w:id="8"/>
    </w:p>
    <w:p w14:paraId="5E840E90" w14:textId="77777777" w:rsidR="00E86304" w:rsidRPr="00FD274F" w:rsidRDefault="00E86304" w:rsidP="00E86304">
      <w:pPr>
        <w:pStyle w:val="SundryBoxHeadBold"/>
      </w:pPr>
      <w:r w:rsidRPr="00FD274F">
        <w:t>Main points</w:t>
      </w:r>
    </w:p>
    <w:p w14:paraId="0B2F8966" w14:textId="77777777" w:rsidR="00E86304" w:rsidRPr="00FD274F" w:rsidRDefault="00E86304" w:rsidP="00E86304">
      <w:pPr>
        <w:pStyle w:val="SundryBoxBullet"/>
      </w:pPr>
      <w:r w:rsidRPr="00FD274F">
        <w:t>•</w:t>
      </w:r>
      <w:r w:rsidRPr="00FD274F">
        <w:tab/>
        <w:t xml:space="preserve">The </w:t>
      </w:r>
      <w:hyperlink r:id="rId19" w:history="1">
        <w:r w:rsidRPr="00FD274F">
          <w:rPr>
            <w:rStyle w:val="Hyperlink"/>
            <w:i/>
            <w:color w:val="auto"/>
          </w:rPr>
          <w:t>Legislation Act 2003</w:t>
        </w:r>
      </w:hyperlink>
      <w:r w:rsidRPr="00FD274F">
        <w:t xml:space="preserve"> is an Act of general application. It establishes a comprehensive regime for the making, publication and review of legislation and related material.</w:t>
      </w:r>
    </w:p>
    <w:p w14:paraId="39B6D4CA" w14:textId="77777777" w:rsidR="00E86304" w:rsidRPr="00FD274F" w:rsidRDefault="00E86304" w:rsidP="00E86304">
      <w:pPr>
        <w:pStyle w:val="Head3"/>
      </w:pPr>
      <w:bookmarkStart w:id="9" w:name="_Toc238117522"/>
      <w:r w:rsidRPr="00FD274F">
        <w:t>Background</w:t>
      </w:r>
      <w:bookmarkEnd w:id="9"/>
    </w:p>
    <w:p w14:paraId="360E0ED8" w14:textId="77777777" w:rsidR="00E86304" w:rsidRPr="00FD274F" w:rsidRDefault="00E86304" w:rsidP="00E86304">
      <w:pPr>
        <w:pStyle w:val="BodyNum"/>
        <w:numPr>
          <w:ilvl w:val="0"/>
          <w:numId w:val="3"/>
        </w:numPr>
      </w:pPr>
      <w:r w:rsidRPr="00FD274F">
        <w:t xml:space="preserve">The </w:t>
      </w:r>
      <w:hyperlink r:id="rId20" w:history="1">
        <w:r w:rsidRPr="00B00B38">
          <w:rPr>
            <w:rStyle w:val="Hyperlink"/>
            <w:i/>
          </w:rPr>
          <w:t>Legislation Act 2003</w:t>
        </w:r>
        <w:r w:rsidRPr="00B00B38">
          <w:t xml:space="preserve"> </w:t>
        </w:r>
      </w:hyperlink>
      <w:r w:rsidRPr="00B00B38">
        <w:t xml:space="preserve">(the </w:t>
      </w:r>
      <w:r w:rsidRPr="00B00B38">
        <w:rPr>
          <w:b/>
          <w:i/>
        </w:rPr>
        <w:t>L</w:t>
      </w:r>
      <w:r w:rsidRPr="00CC7302">
        <w:rPr>
          <w:b/>
          <w:i/>
        </w:rPr>
        <w:t>A</w:t>
      </w:r>
      <w:r>
        <w:t xml:space="preserve">) </w:t>
      </w:r>
      <w:r w:rsidRPr="00FD274F">
        <w:t>underpins open and transparent government by making a large body of legislation and related material subject to publication and review.</w:t>
      </w:r>
    </w:p>
    <w:p w14:paraId="545C368E" w14:textId="77777777" w:rsidR="00E86304" w:rsidRPr="00FD274F" w:rsidRDefault="00E86304" w:rsidP="00E86304">
      <w:pPr>
        <w:pStyle w:val="BodyNum"/>
      </w:pPr>
      <w:r w:rsidRPr="00FD274F">
        <w:t>Under Australia’s Constitution, the Parliament can make laws in the form of Acts of the Parliament, or it can choose to delegate its power to make laws on particular matters to other persons and bodi</w:t>
      </w:r>
      <w:r w:rsidRPr="009A4D26">
        <w:t>es</w:t>
      </w:r>
      <w:r w:rsidRPr="009A4D26">
        <w:rPr>
          <w:rStyle w:val="FootnoteReference"/>
        </w:rPr>
        <w:footnoteReference w:id="1"/>
      </w:r>
      <w:r w:rsidRPr="009A4D26">
        <w:t>.</w:t>
      </w:r>
    </w:p>
    <w:p w14:paraId="70A5C75D" w14:textId="77777777" w:rsidR="00E86304" w:rsidRPr="00FD274F" w:rsidRDefault="00E86304" w:rsidP="00E86304">
      <w:pPr>
        <w:pStyle w:val="BodyNum"/>
      </w:pPr>
      <w:r w:rsidRPr="00FD274F">
        <w:t>For many years, related documents (</w:t>
      </w:r>
      <w:r w:rsidRPr="00FD274F">
        <w:rPr>
          <w:b/>
          <w:i/>
        </w:rPr>
        <w:t>instruments</w:t>
      </w:r>
      <w:r w:rsidRPr="00FD274F">
        <w:t xml:space="preserve">) had to be printed centrally under the </w:t>
      </w:r>
      <w:hyperlink r:id="rId21" w:history="1">
        <w:r w:rsidRPr="009A4D26">
          <w:rPr>
            <w:rStyle w:val="Hyperlink"/>
            <w:i/>
          </w:rPr>
          <w:t>Statutory Rules Publication Act 1903</w:t>
        </w:r>
      </w:hyperlink>
      <w:r w:rsidRPr="009A4D26">
        <w:t>, o</w:t>
      </w:r>
      <w:r w:rsidRPr="00FD274F">
        <w:t>r notified in the Commonwealth Gazette. Delegated laws including regulatio</w:t>
      </w:r>
      <w:r w:rsidRPr="009A4D26">
        <w:t xml:space="preserve">ns and rules were also subject to disallowance by either House of the Parliament under the </w:t>
      </w:r>
      <w:hyperlink r:id="rId22" w:history="1">
        <w:r w:rsidRPr="009A4D26">
          <w:rPr>
            <w:rStyle w:val="Hyperlink"/>
            <w:i/>
          </w:rPr>
          <w:t>Acts Interpretation Act 1901</w:t>
        </w:r>
      </w:hyperlink>
      <w:r w:rsidRPr="009A4D26">
        <w:t>.</w:t>
      </w:r>
    </w:p>
    <w:p w14:paraId="22DE3C90" w14:textId="77777777" w:rsidR="00E86304" w:rsidRPr="00FD274F" w:rsidRDefault="00E86304" w:rsidP="00E86304">
      <w:pPr>
        <w:pStyle w:val="BodyNum"/>
      </w:pPr>
      <w:r w:rsidRPr="00FD274F">
        <w:t>Initially these arrangements worked well. However, as many new types of instruments began to emerge from the 1970s onwards, a significant body of law developed that was not published or subject to parliamentary scrutiny. Among other things, this meant that people could be held responsible for failure to comply with laws to which they did not have access.</w:t>
      </w:r>
    </w:p>
    <w:p w14:paraId="42C62ADE" w14:textId="77777777" w:rsidR="00E86304" w:rsidRPr="00FD274F" w:rsidRDefault="00E86304" w:rsidP="00E86304">
      <w:pPr>
        <w:pStyle w:val="BodyNum"/>
      </w:pPr>
      <w:r w:rsidRPr="00FD274F">
        <w:t xml:space="preserve">These issues were highlighted by the Administrative Review Council in its 1992 report </w:t>
      </w:r>
      <w:r w:rsidRPr="00FD274F">
        <w:rPr>
          <w:i/>
        </w:rPr>
        <w:t>R</w:t>
      </w:r>
      <w:r w:rsidRPr="009A4D26">
        <w:rPr>
          <w:i/>
        </w:rPr>
        <w:t>ule Making by Commonwealth Agencies</w:t>
      </w:r>
      <w:r w:rsidRPr="009A4D26">
        <w:rPr>
          <w:rStyle w:val="FootnoteReference"/>
        </w:rPr>
        <w:footnoteReference w:id="2"/>
      </w:r>
      <w:r w:rsidRPr="009A4D26">
        <w:t>. In</w:t>
      </w:r>
      <w:r w:rsidRPr="00FD274F">
        <w:t xml:space="preserve"> this report, the Council proposed that all delegated laws be:</w:t>
      </w:r>
    </w:p>
    <w:p w14:paraId="47675639" w14:textId="77777777" w:rsidR="00E86304" w:rsidRPr="00FD274F" w:rsidRDefault="00E86304" w:rsidP="00E86304">
      <w:pPr>
        <w:pStyle w:val="BodyPara"/>
      </w:pPr>
      <w:r w:rsidRPr="00FD274F">
        <w:t>subject to consultation before making; and</w:t>
      </w:r>
    </w:p>
    <w:p w14:paraId="62639ECC" w14:textId="77777777" w:rsidR="00E86304" w:rsidRPr="00FD274F" w:rsidRDefault="00E86304" w:rsidP="00E86304">
      <w:pPr>
        <w:pStyle w:val="BodyPara"/>
      </w:pPr>
      <w:r w:rsidRPr="00FD274F">
        <w:t>drafted to a certain standard; and</w:t>
      </w:r>
    </w:p>
    <w:p w14:paraId="22CFED00" w14:textId="77777777" w:rsidR="00E86304" w:rsidRPr="00FD274F" w:rsidRDefault="00E86304" w:rsidP="00E86304">
      <w:pPr>
        <w:pStyle w:val="BodyPara"/>
      </w:pPr>
      <w:r w:rsidRPr="00FD274F">
        <w:t>made public and accessible; and</w:t>
      </w:r>
    </w:p>
    <w:p w14:paraId="1DC3DA44" w14:textId="77777777" w:rsidR="00E86304" w:rsidRPr="00FD274F" w:rsidRDefault="00E86304" w:rsidP="00E86304">
      <w:pPr>
        <w:pStyle w:val="BodyPara"/>
      </w:pPr>
      <w:r>
        <w:t>tabled in the Parliament; and</w:t>
      </w:r>
    </w:p>
    <w:p w14:paraId="7D991E31" w14:textId="77777777" w:rsidR="00E86304" w:rsidRPr="00FD274F" w:rsidRDefault="00E86304" w:rsidP="00E86304">
      <w:pPr>
        <w:pStyle w:val="BodyPara"/>
      </w:pPr>
      <w:r w:rsidRPr="00FD274F">
        <w:t>subject to disallowance and sunsetting.</w:t>
      </w:r>
    </w:p>
    <w:p w14:paraId="7628468B" w14:textId="77777777" w:rsidR="00E86304" w:rsidRPr="00FD274F" w:rsidRDefault="00E86304" w:rsidP="00E86304">
      <w:pPr>
        <w:pStyle w:val="BodyNum"/>
      </w:pPr>
      <w:r w:rsidRPr="00FD274F">
        <w:t xml:space="preserve">The recommendations of the Administrative Review Council were largely adopted when </w:t>
      </w:r>
      <w:r w:rsidRPr="00FD274F">
        <w:rPr>
          <w:szCs w:val="24"/>
        </w:rPr>
        <w:t xml:space="preserve">the </w:t>
      </w:r>
      <w:r w:rsidRPr="00FD274F">
        <w:rPr>
          <w:i/>
          <w:szCs w:val="24"/>
        </w:rPr>
        <w:t>Leg</w:t>
      </w:r>
      <w:r w:rsidRPr="00CC183F">
        <w:rPr>
          <w:i/>
          <w:szCs w:val="24"/>
        </w:rPr>
        <w:t>islative Instruments Act 2003</w:t>
      </w:r>
      <w:r w:rsidRPr="00CC183F">
        <w:rPr>
          <w:szCs w:val="24"/>
        </w:rPr>
        <w:t xml:space="preserve"> </w:t>
      </w:r>
      <w:r w:rsidRPr="00B00B38">
        <w:t xml:space="preserve">(the </w:t>
      </w:r>
      <w:r w:rsidRPr="00B00B38">
        <w:rPr>
          <w:b/>
          <w:i/>
        </w:rPr>
        <w:t>L</w:t>
      </w:r>
      <w:r>
        <w:rPr>
          <w:b/>
          <w:i/>
        </w:rPr>
        <w:t>I</w:t>
      </w:r>
      <w:r w:rsidRPr="00CC7302">
        <w:rPr>
          <w:b/>
          <w:i/>
        </w:rPr>
        <w:t>A</w:t>
      </w:r>
      <w:r>
        <w:t xml:space="preserve">) </w:t>
      </w:r>
      <w:r w:rsidRPr="00CC183F">
        <w:t>w</w:t>
      </w:r>
      <w:r w:rsidRPr="00FD274F">
        <w:t>as enacted</w:t>
      </w:r>
      <w:r>
        <w:t>.</w:t>
      </w:r>
    </w:p>
    <w:p w14:paraId="02272F5F" w14:textId="77777777" w:rsidR="00E86304" w:rsidRPr="00FD274F" w:rsidRDefault="00E86304" w:rsidP="00E86304">
      <w:pPr>
        <w:pStyle w:val="Head3"/>
      </w:pPr>
      <w:bookmarkStart w:id="10" w:name="_Toc238117523"/>
      <w:r w:rsidRPr="00FD274F">
        <w:lastRenderedPageBreak/>
        <w:t>The Legislative Instruments Act 2003 (the LIA)</w:t>
      </w:r>
      <w:bookmarkEnd w:id="10"/>
    </w:p>
    <w:p w14:paraId="34510024" w14:textId="77777777" w:rsidR="00E86304" w:rsidRPr="00FD274F" w:rsidRDefault="00E86304" w:rsidP="00E86304">
      <w:pPr>
        <w:pStyle w:val="BodyNum"/>
      </w:pPr>
      <w:r w:rsidRPr="00FD274F">
        <w:t xml:space="preserve">The </w:t>
      </w:r>
      <w:r w:rsidRPr="00CC183F">
        <w:rPr>
          <w:i/>
        </w:rPr>
        <w:t>Legislative Instruments Act 2003</w:t>
      </w:r>
      <w:r w:rsidRPr="00CC183F">
        <w:t xml:space="preserve"> e</w:t>
      </w:r>
      <w:r w:rsidRPr="00FD274F">
        <w:t>stablished a comprehensive regime for the management of Commonwealth legislative instruments, and what was then the Federal Register of Legislative Instruments (</w:t>
      </w:r>
      <w:proofErr w:type="spellStart"/>
      <w:r w:rsidRPr="00CC7302">
        <w:rPr>
          <w:b/>
          <w:i/>
        </w:rPr>
        <w:t>FRLI</w:t>
      </w:r>
      <w:proofErr w:type="spellEnd"/>
      <w:r w:rsidRPr="00FD274F">
        <w:t>). The Act also:</w:t>
      </w:r>
    </w:p>
    <w:p w14:paraId="227F3A80" w14:textId="77777777" w:rsidR="00E86304" w:rsidRPr="00FD274F" w:rsidRDefault="00E86304" w:rsidP="00E86304">
      <w:pPr>
        <w:pStyle w:val="BodyPara"/>
        <w:spacing w:before="180"/>
      </w:pPr>
      <w:r w:rsidRPr="00FD274F">
        <w:t>created a concept of legislative instrument based on what an instrument did rather than what i</w:t>
      </w:r>
      <w:r>
        <w:t>t</w:t>
      </w:r>
      <w:r w:rsidRPr="00FD274F">
        <w:t xml:space="preserve"> was called; and</w:t>
      </w:r>
    </w:p>
    <w:p w14:paraId="05F40DAE" w14:textId="77777777" w:rsidR="00E86304" w:rsidRPr="00FD274F" w:rsidRDefault="00E86304" w:rsidP="00E86304">
      <w:pPr>
        <w:pStyle w:val="BodyPara"/>
        <w:spacing w:before="180"/>
      </w:pPr>
      <w:r w:rsidRPr="00FD274F">
        <w:t>required the registration of all new legislative instruments made on or after 1 Januar</w:t>
      </w:r>
      <w:r>
        <w:t>y 2005; and</w:t>
      </w:r>
    </w:p>
    <w:p w14:paraId="7EBD8321" w14:textId="77777777" w:rsidR="00E86304" w:rsidRPr="00FD274F" w:rsidRDefault="00E86304" w:rsidP="00E86304">
      <w:pPr>
        <w:pStyle w:val="BodyPara"/>
        <w:spacing w:before="180"/>
      </w:pPr>
      <w:r w:rsidRPr="00FD274F">
        <w:t>repealed any older legislative instrument</w:t>
      </w:r>
      <w:r>
        <w:t>s</w:t>
      </w:r>
      <w:r w:rsidRPr="00FD274F">
        <w:t xml:space="preserve"> that w</w:t>
      </w:r>
      <w:r>
        <w:t>ere</w:t>
      </w:r>
      <w:r w:rsidRPr="00FD274F">
        <w:t xml:space="preserve"> not lodged for registration before 1 January 2008, under what was known as </w:t>
      </w:r>
      <w:proofErr w:type="spellStart"/>
      <w:r w:rsidRPr="00FD274F">
        <w:t>backcapture</w:t>
      </w:r>
      <w:proofErr w:type="spellEnd"/>
      <w:r w:rsidRPr="00FD274F">
        <w:t>.</w:t>
      </w:r>
    </w:p>
    <w:p w14:paraId="475C8EA9" w14:textId="77777777" w:rsidR="00E86304" w:rsidRPr="00FD274F" w:rsidRDefault="00E86304" w:rsidP="00E86304">
      <w:pPr>
        <w:pStyle w:val="BodyNum"/>
      </w:pPr>
      <w:bookmarkStart w:id="11" w:name="_Ref442190464"/>
      <w:r w:rsidRPr="00FD274F">
        <w:t>As part of this, the Act required the online publication of every type of instrument that had previously been printed as a Statutory Rule, and of a much wider range of instruments that had not previously been required to be published systematically.</w:t>
      </w:r>
      <w:bookmarkEnd w:id="11"/>
    </w:p>
    <w:p w14:paraId="44D9C508" w14:textId="77777777" w:rsidR="00E86304" w:rsidRPr="00FD274F" w:rsidRDefault="00E86304" w:rsidP="00E86304">
      <w:pPr>
        <w:pStyle w:val="BodyNum"/>
      </w:pPr>
      <w:r w:rsidRPr="00FD274F">
        <w:t>A formal review o</w:t>
      </w:r>
      <w:r w:rsidRPr="00CC183F">
        <w:t>f the LIA c</w:t>
      </w:r>
      <w:r w:rsidRPr="00FD274F">
        <w:t>onducted over 2008</w:t>
      </w:r>
      <w:r>
        <w:noBreakHyphen/>
      </w:r>
      <w:r w:rsidRPr="00FD274F">
        <w:t>09 found that it had “fundamentally changed the way in which Commonwealth legislative instruments are made, published and reviewed. It gives effect to important principles of access to the law and review of executive action which underpin open and accountable government</w:t>
      </w:r>
      <w:r w:rsidRPr="009A4D26">
        <w:t>”</w:t>
      </w:r>
      <w:r w:rsidRPr="009A4D26">
        <w:rPr>
          <w:rStyle w:val="FootnoteReference"/>
        </w:rPr>
        <w:footnoteReference w:id="3"/>
      </w:r>
      <w:r w:rsidRPr="009A4D26">
        <w:t>.</w:t>
      </w:r>
    </w:p>
    <w:p w14:paraId="7168A35D" w14:textId="77777777" w:rsidR="00E86304" w:rsidRPr="00FD274F" w:rsidRDefault="00E86304" w:rsidP="00E86304">
      <w:pPr>
        <w:pStyle w:val="BodyNum"/>
      </w:pPr>
      <w:r w:rsidRPr="00FD274F">
        <w:t xml:space="preserve">The review also made a number of recommendations, including to amend the LIA to cover a wider range of instruments. Relevant legislation was enacted in stages, culminating in the commencement of the </w:t>
      </w:r>
      <w:hyperlink r:id="rId23" w:history="1">
        <w:r w:rsidRPr="009A4D26">
          <w:rPr>
            <w:rStyle w:val="Hyperlink"/>
            <w:i/>
          </w:rPr>
          <w:t>Acts and Instruments (Framework Reform) Act 2015</w:t>
        </w:r>
      </w:hyperlink>
      <w:r w:rsidRPr="009A4D26">
        <w:t xml:space="preserve"> a</w:t>
      </w:r>
      <w:r w:rsidRPr="00FD274F">
        <w:t xml:space="preserve">nd in the LIA becoming the </w:t>
      </w:r>
      <w:r w:rsidRPr="00FD274F">
        <w:rPr>
          <w:i/>
        </w:rPr>
        <w:t>Legislation Act 2003</w:t>
      </w:r>
      <w:r w:rsidRPr="00FD274F">
        <w:t xml:space="preserve"> on 5 March 2016.</w:t>
      </w:r>
    </w:p>
    <w:p w14:paraId="5650105C" w14:textId="77777777" w:rsidR="00E86304" w:rsidRPr="00FD274F" w:rsidRDefault="00E86304" w:rsidP="00E86304">
      <w:pPr>
        <w:pStyle w:val="Head3"/>
      </w:pPr>
      <w:bookmarkStart w:id="12" w:name="_Toc238117524"/>
      <w:r w:rsidRPr="00FD274F">
        <w:t>The Legislation Act 2003</w:t>
      </w:r>
      <w:r>
        <w:t xml:space="preserve"> (the LA)</w:t>
      </w:r>
      <w:bookmarkEnd w:id="12"/>
    </w:p>
    <w:p w14:paraId="589070B6" w14:textId="77777777" w:rsidR="00E86304" w:rsidRPr="00FD274F" w:rsidRDefault="00E86304" w:rsidP="00E86304">
      <w:pPr>
        <w:pStyle w:val="BodyNum"/>
      </w:pPr>
      <w:r w:rsidRPr="00FD274F">
        <w:t xml:space="preserve">The </w:t>
      </w:r>
      <w:r w:rsidRPr="00FD274F">
        <w:rPr>
          <w:i/>
        </w:rPr>
        <w:t>Legislation Act 2003</w:t>
      </w:r>
      <w:r w:rsidRPr="00FD274F">
        <w:t xml:space="preserve"> establishes a comprehensive regime for the publication of all Commonwealth legislation and related notices. Of particular note is that:</w:t>
      </w:r>
    </w:p>
    <w:p w14:paraId="3840E769" w14:textId="77777777" w:rsidR="00E86304" w:rsidRPr="00FD274F" w:rsidRDefault="00E86304" w:rsidP="00E86304">
      <w:pPr>
        <w:pStyle w:val="BodyPara"/>
        <w:spacing w:before="180"/>
      </w:pPr>
      <w:r w:rsidRPr="00FD274F">
        <w:t xml:space="preserve">it extends to Commonwealth Acts, the publication of which was previously </w:t>
      </w:r>
      <w:r>
        <w:t>governed by a separate Act; and</w:t>
      </w:r>
    </w:p>
    <w:p w14:paraId="2CFA7333" w14:textId="77777777" w:rsidR="00E86304" w:rsidRPr="00FD274F" w:rsidRDefault="00E86304" w:rsidP="00E86304">
      <w:pPr>
        <w:pStyle w:val="BodyPara"/>
        <w:spacing w:before="180"/>
      </w:pPr>
      <w:r w:rsidRPr="00FD274F">
        <w:t>it also establishes a category of notifiable instrument</w:t>
      </w:r>
      <w:r>
        <w:t>s</w:t>
      </w:r>
      <w:r w:rsidRPr="00FD274F">
        <w:t>, for notices of a legal nature that are not legislative but still of long</w:t>
      </w:r>
      <w:r>
        <w:noBreakHyphen/>
      </w:r>
      <w:r w:rsidRPr="00FD274F">
        <w:t>term public interest; and</w:t>
      </w:r>
    </w:p>
    <w:p w14:paraId="1F222D04" w14:textId="77777777" w:rsidR="00E86304" w:rsidRPr="00FD274F" w:rsidRDefault="00E86304" w:rsidP="00E86304">
      <w:pPr>
        <w:pStyle w:val="BodyPara"/>
        <w:spacing w:before="180"/>
      </w:pPr>
      <w:r w:rsidRPr="00FD274F">
        <w:t>it does not change existing requirements relating to the development and scrutiny of legislative instruments (e.g. disallowance and sunsetting).</w:t>
      </w:r>
    </w:p>
    <w:p w14:paraId="7D25C2D9" w14:textId="77777777" w:rsidR="00E86304" w:rsidRPr="00FA2521" w:rsidRDefault="00E86304" w:rsidP="00E86304">
      <w:pPr>
        <w:pStyle w:val="Head3"/>
      </w:pPr>
      <w:bookmarkStart w:id="13" w:name="_Toc238117525"/>
      <w:r w:rsidRPr="00FA2521">
        <w:t>Sunsetting Review</w:t>
      </w:r>
      <w:bookmarkEnd w:id="13"/>
    </w:p>
    <w:p w14:paraId="2CB0FB37" w14:textId="77777777" w:rsidR="00E86304" w:rsidRPr="00FA2521" w:rsidRDefault="00E86304" w:rsidP="00E86304">
      <w:pPr>
        <w:pStyle w:val="BodyNum"/>
      </w:pPr>
      <w:r w:rsidRPr="00FA2521">
        <w:t xml:space="preserve">In 2017, the </w:t>
      </w:r>
      <w:hyperlink r:id="rId24" w:history="1">
        <w:r w:rsidRPr="00CC183F">
          <w:rPr>
            <w:rStyle w:val="Hyperlink"/>
          </w:rPr>
          <w:t>LA</w:t>
        </w:r>
      </w:hyperlink>
      <w:r w:rsidRPr="00FA2521">
        <w:t xml:space="preserve"> was subject to a review of sunsetting and related matters specified by the Attorney</w:t>
      </w:r>
      <w:r>
        <w:noBreakHyphen/>
      </w:r>
      <w:r w:rsidRPr="00FA2521">
        <w:t xml:space="preserve">General under </w:t>
      </w:r>
      <w:r w:rsidRPr="00CC183F">
        <w:t xml:space="preserve">section 60 of the </w:t>
      </w:r>
      <w:hyperlink r:id="rId25" w:history="1">
        <w:r w:rsidRPr="00CC183F">
          <w:rPr>
            <w:rStyle w:val="Hyperlink"/>
          </w:rPr>
          <w:t>LA</w:t>
        </w:r>
      </w:hyperlink>
      <w:r w:rsidRPr="00CC183F">
        <w:t>.</w:t>
      </w:r>
    </w:p>
    <w:p w14:paraId="1CA2348A" w14:textId="77777777" w:rsidR="00E86304" w:rsidRPr="00FA2521" w:rsidRDefault="00E86304" w:rsidP="00E86304">
      <w:pPr>
        <w:pStyle w:val="BodyNum"/>
      </w:pPr>
      <w:r w:rsidRPr="00FA2521">
        <w:lastRenderedPageBreak/>
        <w:t xml:space="preserve">The </w:t>
      </w:r>
      <w:r w:rsidRPr="009805B7">
        <w:rPr>
          <w:i/>
        </w:rPr>
        <w:t>Report on the Operation of the Sunsetting Provisions in the Legislation Act 2003</w:t>
      </w:r>
      <w:r w:rsidRPr="009805B7">
        <w:t>, published in September 2017</w:t>
      </w:r>
      <w:r w:rsidRPr="009805B7">
        <w:rPr>
          <w:rStyle w:val="FootnoteReference"/>
        </w:rPr>
        <w:footnoteReference w:id="4"/>
      </w:r>
      <w:r w:rsidRPr="009805B7">
        <w:t>,</w:t>
      </w:r>
      <w:r w:rsidRPr="00FA2521">
        <w:t xml:space="preserve"> made a number of recommendations. Overall, the review supported the sunsetting framework and recommended that the 10</w:t>
      </w:r>
      <w:r>
        <w:noBreakHyphen/>
      </w:r>
      <w:r w:rsidRPr="00FA2521">
        <w:t>year</w:t>
      </w:r>
      <w:r>
        <w:t xml:space="preserve"> sunsetting period be maintained.</w:t>
      </w:r>
    </w:p>
    <w:p w14:paraId="15C65785" w14:textId="77777777" w:rsidR="00E86304" w:rsidRDefault="00E86304" w:rsidP="00E86304">
      <w:pPr>
        <w:pStyle w:val="BodyNum"/>
      </w:pPr>
      <w:r>
        <w:t>Some of the other recommendations include that:</w:t>
      </w:r>
    </w:p>
    <w:p w14:paraId="7518446F" w14:textId="77777777" w:rsidR="00E86304" w:rsidRDefault="00E86304" w:rsidP="00E86304">
      <w:pPr>
        <w:pStyle w:val="BodyPara"/>
      </w:pPr>
      <w:r>
        <w:t>the sunsetting framework not be extended to Acts; and</w:t>
      </w:r>
    </w:p>
    <w:p w14:paraId="3F063C3A" w14:textId="77777777" w:rsidR="00E86304" w:rsidRDefault="00E86304" w:rsidP="00E86304">
      <w:pPr>
        <w:pStyle w:val="BodyPara"/>
      </w:pPr>
      <w:r>
        <w:t>another review of sunsetting provisions be undertaken by 1 October 2027.</w:t>
      </w:r>
    </w:p>
    <w:p w14:paraId="6D41581B" w14:textId="77777777" w:rsidR="00E86304" w:rsidRDefault="00E86304" w:rsidP="00E86304">
      <w:pPr>
        <w:pStyle w:val="BodyNum"/>
      </w:pPr>
      <w:r>
        <w:t xml:space="preserve">The </w:t>
      </w:r>
      <w:hyperlink r:id="rId26" w:history="1">
        <w:r w:rsidRPr="009805B7">
          <w:rPr>
            <w:rStyle w:val="Hyperlink"/>
            <w:i/>
          </w:rPr>
          <w:t>Legislation Amendment (Sunsetting Review and Other Measures) Act 2018</w:t>
        </w:r>
      </w:hyperlink>
      <w:r w:rsidRPr="009805B7">
        <w:t xml:space="preserve"> was</w:t>
      </w:r>
      <w:r>
        <w:t xml:space="preserve"> assented to on 24 August 2018. The Act addresses a number of the Sunsetting Review recommendations, including that:</w:t>
      </w:r>
    </w:p>
    <w:p w14:paraId="7EDDF83E" w14:textId="77777777" w:rsidR="00E86304" w:rsidRDefault="00E86304" w:rsidP="00E86304">
      <w:pPr>
        <w:pStyle w:val="BodyPara"/>
      </w:pPr>
      <w:r>
        <w:t>the Attorney</w:t>
      </w:r>
      <w:r>
        <w:noBreakHyphen/>
        <w:t>General be allowed to grant deferrals of sunsetting for up to 24 months; and</w:t>
      </w:r>
    </w:p>
    <w:p w14:paraId="24896D38" w14:textId="77777777" w:rsidR="00E86304" w:rsidRDefault="00E86304" w:rsidP="00E86304">
      <w:pPr>
        <w:pStyle w:val="BodyPara"/>
      </w:pPr>
      <w:r>
        <w:t>Parliament be allowed to pass a resolution to roll over a legislative instrument at any time after that instrument is mentioned in the sunsetting list or a certificate of deferral; and</w:t>
      </w:r>
    </w:p>
    <w:p w14:paraId="472FB936" w14:textId="77777777" w:rsidR="00E86304" w:rsidRDefault="00E86304" w:rsidP="00E86304">
      <w:pPr>
        <w:pStyle w:val="BodyPara"/>
      </w:pPr>
      <w:r>
        <w:t xml:space="preserve">rules of court should be subject to the registration and publication requirements of the </w:t>
      </w:r>
      <w:hyperlink r:id="rId27" w:history="1">
        <w:r w:rsidRPr="00657CF9">
          <w:rPr>
            <w:rStyle w:val="Hyperlink"/>
          </w:rPr>
          <w:t>LA</w:t>
        </w:r>
      </w:hyperlink>
      <w:r>
        <w:t xml:space="preserve"> but not subject to sunsetting; and</w:t>
      </w:r>
    </w:p>
    <w:p w14:paraId="0CE12B7B" w14:textId="77777777" w:rsidR="00E86304" w:rsidRDefault="00E86304" w:rsidP="00E86304">
      <w:pPr>
        <w:pStyle w:val="BodyPara"/>
      </w:pPr>
      <w:r>
        <w:t xml:space="preserve">automatic repeal of disallowable legislative instruments under Division 1 of Part 3 of Chapter 3 of the </w:t>
      </w:r>
      <w:hyperlink r:id="rId28" w:history="1">
        <w:r w:rsidRPr="00657CF9">
          <w:rPr>
            <w:rStyle w:val="Hyperlink"/>
          </w:rPr>
          <w:t>LA</w:t>
        </w:r>
      </w:hyperlink>
      <w:r w:rsidRPr="00657CF9">
        <w:t xml:space="preserve"> do</w:t>
      </w:r>
      <w:r>
        <w:t xml:space="preserve"> not operate before the end of the disallowance period; and</w:t>
      </w:r>
    </w:p>
    <w:p w14:paraId="354DBF83" w14:textId="77777777" w:rsidR="00E86304" w:rsidRDefault="00E86304" w:rsidP="00E86304">
      <w:pPr>
        <w:pStyle w:val="BodyPara"/>
      </w:pPr>
      <w:r>
        <w:t xml:space="preserve">the term </w:t>
      </w:r>
      <w:r>
        <w:rPr>
          <w:b/>
          <w:i/>
        </w:rPr>
        <w:t>sitting day</w:t>
      </w:r>
      <w:r>
        <w:t xml:space="preserve"> be defined in t</w:t>
      </w:r>
      <w:r w:rsidRPr="009805B7">
        <w:t xml:space="preserve">he </w:t>
      </w:r>
      <w:hyperlink r:id="rId29" w:history="1">
        <w:r w:rsidRPr="009A4D26">
          <w:rPr>
            <w:rStyle w:val="Hyperlink"/>
            <w:i/>
          </w:rPr>
          <w:t>Acts Interpretation Act 1901</w:t>
        </w:r>
      </w:hyperlink>
      <w:r w:rsidRPr="009805B7">
        <w:t>.</w:t>
      </w:r>
    </w:p>
    <w:p w14:paraId="02B8D66A" w14:textId="77777777" w:rsidR="00E86304" w:rsidRPr="00FD274F" w:rsidRDefault="00E86304" w:rsidP="00E86304">
      <w:pPr>
        <w:pStyle w:val="Head3"/>
      </w:pPr>
      <w:bookmarkStart w:id="14" w:name="_Toc238117526"/>
      <w:r w:rsidRPr="00FD274F">
        <w:t>Further statutory reviews</w:t>
      </w:r>
      <w:bookmarkEnd w:id="14"/>
    </w:p>
    <w:p w14:paraId="08066179" w14:textId="77777777" w:rsidR="00E86304" w:rsidRDefault="00E86304" w:rsidP="00E86304">
      <w:pPr>
        <w:pStyle w:val="BodyNum"/>
      </w:pPr>
      <w:r w:rsidRPr="00434F5B">
        <w:t>A review of the operation o</w:t>
      </w:r>
      <w:r w:rsidRPr="00657CF9">
        <w:t>f Part 4 of Chapter 3</w:t>
      </w:r>
      <w:r w:rsidRPr="00434F5B">
        <w:t xml:space="preserve"> of the </w:t>
      </w:r>
      <w:hyperlink r:id="rId30" w:history="1">
        <w:r w:rsidRPr="00657CF9">
          <w:rPr>
            <w:rStyle w:val="Hyperlink"/>
          </w:rPr>
          <w:t>LA</w:t>
        </w:r>
      </w:hyperlink>
      <w:r w:rsidRPr="00657CF9">
        <w:t xml:space="preserve"> (</w:t>
      </w:r>
      <w:r w:rsidRPr="00434F5B">
        <w:t xml:space="preserve">sunsetting of legislative instruments) will be conducted in 2027 under section 60 of the </w:t>
      </w:r>
      <w:hyperlink r:id="rId31" w:history="1">
        <w:r w:rsidRPr="00657CF9">
          <w:rPr>
            <w:rStyle w:val="Hyperlink"/>
          </w:rPr>
          <w:t>LA</w:t>
        </w:r>
      </w:hyperlink>
      <w:r w:rsidRPr="00657CF9">
        <w:t>.</w:t>
      </w:r>
      <w:bookmarkStart w:id="15" w:name="Chapter2"/>
    </w:p>
    <w:p w14:paraId="77D624F0" w14:textId="77777777" w:rsidR="00E86304" w:rsidRDefault="00E86304" w:rsidP="00E86304">
      <w:pPr>
        <w:pStyle w:val="Head2"/>
        <w:sectPr w:rsidR="00E86304" w:rsidSect="00E86304">
          <w:headerReference w:type="default" r:id="rId32"/>
          <w:footerReference w:type="even" r:id="rId33"/>
          <w:footerReference w:type="default" r:id="rId34"/>
          <w:pgSz w:w="11907" w:h="16839" w:code="9"/>
          <w:pgMar w:top="1440" w:right="1440" w:bottom="1418" w:left="1440" w:header="720" w:footer="720" w:gutter="0"/>
          <w:pgNumType w:start="1"/>
          <w:cols w:sep="1" w:space="567"/>
          <w:docGrid w:linePitch="360"/>
        </w:sectPr>
      </w:pPr>
    </w:p>
    <w:p w14:paraId="6D54150B" w14:textId="77777777" w:rsidR="00E86304" w:rsidRPr="00FD274F" w:rsidRDefault="00E86304" w:rsidP="00E86304">
      <w:pPr>
        <w:pStyle w:val="Head2"/>
      </w:pPr>
      <w:bookmarkStart w:id="16" w:name="_Toc238117527"/>
      <w:r w:rsidRPr="00FD274F">
        <w:lastRenderedPageBreak/>
        <w:t>Chapter 2—Key concepts</w:t>
      </w:r>
      <w:bookmarkEnd w:id="16"/>
    </w:p>
    <w:bookmarkEnd w:id="15"/>
    <w:p w14:paraId="4DB84074" w14:textId="77777777" w:rsidR="00E86304" w:rsidRPr="00FD274F" w:rsidRDefault="00E86304" w:rsidP="00E86304">
      <w:pPr>
        <w:pStyle w:val="SundryBoxHeadBold"/>
      </w:pPr>
      <w:r w:rsidRPr="00FD274F">
        <w:t>Main points</w:t>
      </w:r>
    </w:p>
    <w:p w14:paraId="308D8CEA" w14:textId="77777777" w:rsidR="00E86304" w:rsidRPr="00FD274F" w:rsidRDefault="00E86304" w:rsidP="00E86304">
      <w:pPr>
        <w:pStyle w:val="SundryBoxBullet"/>
      </w:pPr>
      <w:r w:rsidRPr="00FD274F">
        <w:t>•</w:t>
      </w:r>
      <w:r w:rsidRPr="00FD274F">
        <w:tab/>
        <w:t xml:space="preserve">The </w:t>
      </w:r>
      <w:hyperlink r:id="rId35" w:history="1">
        <w:r w:rsidRPr="00FC211B">
          <w:rPr>
            <w:rStyle w:val="Hyperlink"/>
          </w:rPr>
          <w:t>LA</w:t>
        </w:r>
      </w:hyperlink>
      <w:r w:rsidRPr="00FC211B">
        <w:rPr>
          <w:rStyle w:val="Hyperlink"/>
        </w:rPr>
        <w:t xml:space="preserve"> </w:t>
      </w:r>
      <w:r w:rsidRPr="00FC211B">
        <w:t>im</w:t>
      </w:r>
      <w:r w:rsidRPr="00FD274F">
        <w:t>poses a number of obligations on rule</w:t>
      </w:r>
      <w:r>
        <w:noBreakHyphen/>
      </w:r>
      <w:r w:rsidRPr="00FD274F">
        <w:t>makers in respect of legislative instruments and notifiable instruments.</w:t>
      </w:r>
    </w:p>
    <w:p w14:paraId="4163C0A1" w14:textId="77777777" w:rsidR="00E86304" w:rsidRPr="00FD274F" w:rsidRDefault="00E86304" w:rsidP="00E86304">
      <w:pPr>
        <w:pStyle w:val="SundryBoxBullet"/>
      </w:pPr>
      <w:r w:rsidRPr="00FD274F">
        <w:t>•</w:t>
      </w:r>
      <w:r w:rsidRPr="00FD274F">
        <w:tab/>
      </w:r>
      <w:r>
        <w:t xml:space="preserve">For the purposes of the </w:t>
      </w:r>
      <w:hyperlink r:id="rId36" w:history="1">
        <w:r w:rsidRPr="00FC211B">
          <w:rPr>
            <w:rStyle w:val="Hyperlink"/>
          </w:rPr>
          <w:t>LA</w:t>
        </w:r>
      </w:hyperlink>
      <w:r w:rsidRPr="00FC211B">
        <w:t xml:space="preserve">, the </w:t>
      </w:r>
      <w:r w:rsidRPr="00FC211B">
        <w:rPr>
          <w:b/>
          <w:i/>
        </w:rPr>
        <w:t>r</w:t>
      </w:r>
      <w:r w:rsidRPr="00FD274F">
        <w:rPr>
          <w:b/>
          <w:i/>
        </w:rPr>
        <w:t>ule</w:t>
      </w:r>
      <w:r>
        <w:rPr>
          <w:b/>
          <w:i/>
        </w:rPr>
        <w:noBreakHyphen/>
      </w:r>
      <w:r w:rsidRPr="00FD274F">
        <w:rPr>
          <w:b/>
          <w:i/>
        </w:rPr>
        <w:t>maker</w:t>
      </w:r>
      <w:r w:rsidRPr="00FD274F">
        <w:t xml:space="preserve"> generally refers to the person or body </w:t>
      </w:r>
      <w:r>
        <w:t xml:space="preserve">(or a delegate) </w:t>
      </w:r>
      <w:r w:rsidRPr="00FD274F">
        <w:t>authorised to make an instrument under its enabling legislation.</w:t>
      </w:r>
    </w:p>
    <w:p w14:paraId="2AE1AF3D" w14:textId="77777777" w:rsidR="00E86304" w:rsidRPr="00FD274F" w:rsidRDefault="00E86304" w:rsidP="00E86304">
      <w:pPr>
        <w:pStyle w:val="SundryBoxBullet"/>
      </w:pPr>
      <w:r w:rsidRPr="00FD274F">
        <w:t>•</w:t>
      </w:r>
      <w:r w:rsidRPr="00FD274F">
        <w:tab/>
        <w:t>Declarations about whether or not a class of instrument is a legislative instrument or a notifiable instrument can be found in t</w:t>
      </w:r>
      <w:r w:rsidRPr="00FC211B">
        <w:t xml:space="preserve">he </w:t>
      </w:r>
      <w:hyperlink r:id="rId37" w:history="1">
        <w:r w:rsidRPr="00FC211B">
          <w:rPr>
            <w:rStyle w:val="Hyperlink"/>
          </w:rPr>
          <w:t>LA</w:t>
        </w:r>
      </w:hyperlink>
      <w:r w:rsidRPr="00FC211B">
        <w:t xml:space="preserve">, </w:t>
      </w:r>
      <w:hyperlink r:id="rId38" w:history="1">
        <w:proofErr w:type="spellStart"/>
        <w:r w:rsidRPr="00FC211B">
          <w:rPr>
            <w:rStyle w:val="Hyperlink"/>
          </w:rPr>
          <w:t>LEOMR</w:t>
        </w:r>
        <w:proofErr w:type="spellEnd"/>
      </w:hyperlink>
      <w:r w:rsidRPr="00FC211B">
        <w:t xml:space="preserve"> a</w:t>
      </w:r>
      <w:r w:rsidRPr="00FD274F">
        <w:t>nd some enabling legislation.</w:t>
      </w:r>
    </w:p>
    <w:p w14:paraId="2F0C8D54" w14:textId="77777777" w:rsidR="00E86304" w:rsidRPr="00FD274F" w:rsidRDefault="00E86304" w:rsidP="00E86304">
      <w:pPr>
        <w:pStyle w:val="SundryBoxBullet"/>
      </w:pPr>
      <w:r w:rsidRPr="00FD274F">
        <w:t>•</w:t>
      </w:r>
      <w:r w:rsidRPr="00FD274F">
        <w:tab/>
        <w:t>In the absence of an express declaration, the definition of a</w:t>
      </w:r>
      <w:r w:rsidRPr="00FD274F">
        <w:rPr>
          <w:b/>
        </w:rPr>
        <w:t xml:space="preserve"> </w:t>
      </w:r>
      <w:r w:rsidRPr="00FD274F">
        <w:rPr>
          <w:b/>
          <w:i/>
        </w:rPr>
        <w:t>legislative instrument</w:t>
      </w:r>
      <w:r w:rsidRPr="00FD274F">
        <w:t xml:space="preserve"> in </w:t>
      </w:r>
      <w:r w:rsidRPr="00FC211B">
        <w:t xml:space="preserve">section 8 of the </w:t>
      </w:r>
      <w:hyperlink r:id="rId39" w:history="1">
        <w:r w:rsidRPr="00FC211B">
          <w:rPr>
            <w:rStyle w:val="Hyperlink"/>
          </w:rPr>
          <w:t>LA</w:t>
        </w:r>
      </w:hyperlink>
      <w:r w:rsidRPr="00FD274F">
        <w:rPr>
          <w:rStyle w:val="Hyperlink"/>
        </w:rPr>
        <w:t xml:space="preserve"> </w:t>
      </w:r>
      <w:r w:rsidRPr="00FD274F">
        <w:t>must be applied to an instrument.</w:t>
      </w:r>
    </w:p>
    <w:p w14:paraId="0F96A503" w14:textId="77777777" w:rsidR="00E86304" w:rsidRPr="00FD274F" w:rsidRDefault="00E86304" w:rsidP="00E86304">
      <w:pPr>
        <w:pStyle w:val="SundryBoxBullet"/>
      </w:pPr>
      <w:r w:rsidRPr="00FD274F">
        <w:t>•</w:t>
      </w:r>
      <w:r w:rsidRPr="00FD274F">
        <w:tab/>
        <w:t>If it is unclear whether an instrument is a legislative instrument, it would be prudent to get legal advice and take action if necessary to put the issue beyond doubt.</w:t>
      </w:r>
    </w:p>
    <w:p w14:paraId="2145213C" w14:textId="77777777" w:rsidR="00E86304" w:rsidRPr="00FD274F" w:rsidRDefault="00E86304" w:rsidP="00E86304">
      <w:pPr>
        <w:pStyle w:val="SundryBoxBullet"/>
      </w:pPr>
      <w:r w:rsidRPr="00FD274F">
        <w:t>•</w:t>
      </w:r>
      <w:r w:rsidRPr="00FD274F">
        <w:tab/>
        <w:t>The Federal Register of Legislation is an authorised database of legislation and related material including instruments, their explanatory statements and compilations of instruments as amended.</w:t>
      </w:r>
    </w:p>
    <w:p w14:paraId="7418B6A9" w14:textId="77777777" w:rsidR="00E86304" w:rsidRPr="005023D4" w:rsidRDefault="00E86304" w:rsidP="00E86304">
      <w:pPr>
        <w:pStyle w:val="SundryBoxBullet"/>
      </w:pPr>
      <w:r w:rsidRPr="00FD274F">
        <w:t>•</w:t>
      </w:r>
      <w:r w:rsidRPr="00FD274F">
        <w:tab/>
        <w:t xml:space="preserve">The Register is accessible online free of charge at </w:t>
      </w:r>
      <w:hyperlink r:id="rId40" w:history="1">
        <w:r w:rsidRPr="00FD274F">
          <w:rPr>
            <w:rStyle w:val="Hyperlink"/>
          </w:rPr>
          <w:t>https://www.legislation.gov.au</w:t>
        </w:r>
      </w:hyperlink>
      <w:r w:rsidRPr="005023D4">
        <w:t>.</w:t>
      </w:r>
    </w:p>
    <w:p w14:paraId="7324769D" w14:textId="77777777" w:rsidR="00E86304" w:rsidRPr="00FD274F" w:rsidRDefault="00E86304" w:rsidP="00E86304">
      <w:pPr>
        <w:pStyle w:val="Head3"/>
      </w:pPr>
      <w:bookmarkStart w:id="17" w:name="_Toc238117528"/>
      <w:r w:rsidRPr="00FD274F">
        <w:t>Who is a rule</w:t>
      </w:r>
      <w:r>
        <w:noBreakHyphen/>
      </w:r>
      <w:r w:rsidRPr="00FD274F">
        <w:t>maker?</w:t>
      </w:r>
      <w:bookmarkEnd w:id="17"/>
    </w:p>
    <w:p w14:paraId="58E763BD" w14:textId="77777777" w:rsidR="00E86304" w:rsidRPr="00FD274F" w:rsidRDefault="00E86304" w:rsidP="00E86304">
      <w:pPr>
        <w:pStyle w:val="BodyNum"/>
      </w:pPr>
      <w:r w:rsidRPr="00FD274F">
        <w:t>Th</w:t>
      </w:r>
      <w:r w:rsidRPr="00FC211B">
        <w:t xml:space="preserve">e </w:t>
      </w:r>
      <w:hyperlink r:id="rId41" w:history="1">
        <w:r w:rsidRPr="00FC211B">
          <w:rPr>
            <w:rStyle w:val="Hyperlink"/>
          </w:rPr>
          <w:t>LA</w:t>
        </w:r>
      </w:hyperlink>
      <w:r w:rsidRPr="00FD274F">
        <w:t xml:space="preserve"> imposes a number of obligations on rule</w:t>
      </w:r>
      <w:r>
        <w:noBreakHyphen/>
      </w:r>
      <w:r w:rsidRPr="00FD274F">
        <w:t>makers, including lodging instruments for registration, and notifying events that may affect the accuracy an</w:t>
      </w:r>
      <w:r>
        <w:t>d completeness of the Register.</w:t>
      </w:r>
    </w:p>
    <w:p w14:paraId="3FEA297E" w14:textId="77777777" w:rsidR="00E86304" w:rsidRPr="00FD274F" w:rsidRDefault="00E86304" w:rsidP="00E86304">
      <w:pPr>
        <w:pStyle w:val="BodyNum"/>
      </w:pPr>
      <w:r w:rsidRPr="00FD274F">
        <w:t xml:space="preserve">For the purposes of the </w:t>
      </w:r>
      <w:hyperlink r:id="rId42" w:history="1">
        <w:r w:rsidRPr="00FC211B">
          <w:rPr>
            <w:rStyle w:val="Hyperlink"/>
          </w:rPr>
          <w:t>LA</w:t>
        </w:r>
      </w:hyperlink>
      <w:r w:rsidRPr="00FC211B">
        <w:t>,</w:t>
      </w:r>
      <w:r w:rsidRPr="00FD274F">
        <w:t xml:space="preserve"> </w:t>
      </w:r>
      <w:r w:rsidRPr="00FD274F">
        <w:rPr>
          <w:b/>
          <w:i/>
        </w:rPr>
        <w:t>rule</w:t>
      </w:r>
      <w:r>
        <w:rPr>
          <w:b/>
          <w:i/>
        </w:rPr>
        <w:noBreakHyphen/>
      </w:r>
      <w:r w:rsidRPr="00FD274F">
        <w:rPr>
          <w:b/>
          <w:i/>
        </w:rPr>
        <w:t>maker</w:t>
      </w:r>
      <w:r w:rsidRPr="00FD274F">
        <w:t xml:space="preserve"> generally means the person or body authorised to make an instrument under its enabling legislation, whether or not the person or body actually made the instrument concerne</w:t>
      </w:r>
      <w:r w:rsidRPr="00FC211B">
        <w:t>d (</w:t>
      </w:r>
      <w:hyperlink r:id="rId43" w:history="1">
        <w:r w:rsidRPr="00FC211B">
          <w:rPr>
            <w:rStyle w:val="Hyperlink"/>
          </w:rPr>
          <w:t>LA</w:t>
        </w:r>
      </w:hyperlink>
      <w:r w:rsidRPr="00FC211B">
        <w:t xml:space="preserve"> s 6(1)(c)).</w:t>
      </w:r>
      <w:r w:rsidRPr="00FD274F">
        <w:t xml:space="preserve"> There is one exception to this rule. For instruments made by the Governor</w:t>
      </w:r>
      <w:r>
        <w:noBreakHyphen/>
      </w:r>
      <w:r w:rsidRPr="00FD274F">
        <w:t>General, the rule</w:t>
      </w:r>
      <w:r>
        <w:noBreakHyphen/>
      </w:r>
      <w:r w:rsidRPr="00FD274F">
        <w:t>maker is taken to be:</w:t>
      </w:r>
    </w:p>
    <w:p w14:paraId="1546ACD4" w14:textId="77777777" w:rsidR="00E86304" w:rsidRPr="00FD274F" w:rsidRDefault="00E86304" w:rsidP="00E86304">
      <w:pPr>
        <w:pStyle w:val="BodyPara"/>
      </w:pPr>
      <w:r w:rsidRPr="00FD274F">
        <w:t>the Minister responsible for the enabling legislation under which the instrument is m</w:t>
      </w:r>
      <w:r w:rsidRPr="00FC211B">
        <w:t>ade (</w:t>
      </w:r>
      <w:hyperlink r:id="rId44" w:history="1">
        <w:r w:rsidRPr="00FC211B">
          <w:rPr>
            <w:rStyle w:val="Hyperlink"/>
          </w:rPr>
          <w:t>LA</w:t>
        </w:r>
      </w:hyperlink>
      <w:r w:rsidRPr="00FC211B">
        <w:t xml:space="preserve"> s 6(1)(a)); or</w:t>
      </w:r>
    </w:p>
    <w:p w14:paraId="536103A0" w14:textId="77777777" w:rsidR="00E86304" w:rsidRPr="00FD274F" w:rsidRDefault="00E86304" w:rsidP="00E86304">
      <w:pPr>
        <w:pStyle w:val="BodyPara"/>
      </w:pPr>
      <w:r w:rsidRPr="00FD274F">
        <w:t>if the instrument is made under executive power—the Prime Minister, or a Minister prescribed by regulatio</w:t>
      </w:r>
      <w:r w:rsidRPr="00FC211B">
        <w:t>n (</w:t>
      </w:r>
      <w:hyperlink r:id="rId45" w:history="1">
        <w:r w:rsidRPr="00FC211B">
          <w:rPr>
            <w:rStyle w:val="Hyperlink"/>
          </w:rPr>
          <w:t>LA</w:t>
        </w:r>
      </w:hyperlink>
      <w:r w:rsidRPr="00FC211B">
        <w:t xml:space="preserve"> s 6(1)(b)).</w:t>
      </w:r>
    </w:p>
    <w:p w14:paraId="4BD4FD52" w14:textId="77777777" w:rsidR="00E86304" w:rsidRPr="00FD274F" w:rsidRDefault="00E86304" w:rsidP="00E86304">
      <w:pPr>
        <w:pStyle w:val="BodyNum"/>
      </w:pPr>
      <w:r w:rsidRPr="00FD274F">
        <w:t>A rule</w:t>
      </w:r>
      <w:r>
        <w:noBreakHyphen/>
      </w:r>
      <w:r w:rsidRPr="00FD274F">
        <w:t xml:space="preserve">maker may be able to delegate the power to make an instrument </w:t>
      </w:r>
      <w:r>
        <w:t xml:space="preserve">to another person </w:t>
      </w:r>
      <w:r w:rsidRPr="004A7454">
        <w:t xml:space="preserve">(see paragraphs </w:t>
      </w:r>
      <w:r w:rsidRPr="00FC211B">
        <w:fldChar w:fldCharType="begin"/>
      </w:r>
      <w:r w:rsidRPr="004A7454">
        <w:instrText xml:space="preserve"> REF _Ref369883259 \r \h  \* MERGEFORMAT </w:instrText>
      </w:r>
      <w:r w:rsidRPr="00FC211B">
        <w:fldChar w:fldCharType="separate"/>
      </w:r>
      <w:r>
        <w:t>102</w:t>
      </w:r>
      <w:r w:rsidRPr="00FC211B">
        <w:fldChar w:fldCharType="end"/>
      </w:r>
      <w:r w:rsidRPr="004A7454">
        <w:t xml:space="preserve"> to </w:t>
      </w:r>
      <w:r w:rsidRPr="00FC211B">
        <w:fldChar w:fldCharType="begin"/>
      </w:r>
      <w:r w:rsidRPr="004A7454">
        <w:instrText xml:space="preserve"> REF _Ref449608075 \r \h  \* MERGEFORMAT </w:instrText>
      </w:r>
      <w:r w:rsidRPr="00FC211B">
        <w:fldChar w:fldCharType="separate"/>
      </w:r>
      <w:r>
        <w:t>106</w:t>
      </w:r>
      <w:r w:rsidRPr="00FC211B">
        <w:fldChar w:fldCharType="end"/>
      </w:r>
      <w:r w:rsidRPr="004A7454">
        <w:t>). H</w:t>
      </w:r>
      <w:r>
        <w:t>owever, t</w:t>
      </w:r>
      <w:r w:rsidRPr="00FD274F">
        <w:t>he delegation of power does not affect the obligations of the rule</w:t>
      </w:r>
      <w:r>
        <w:noBreakHyphen/>
      </w:r>
      <w:r w:rsidRPr="00FD274F">
        <w:t>maker under t</w:t>
      </w:r>
      <w:r w:rsidRPr="00FC211B">
        <w:t xml:space="preserve">he </w:t>
      </w:r>
      <w:hyperlink r:id="rId46" w:history="1">
        <w:r w:rsidRPr="00FC211B">
          <w:rPr>
            <w:rStyle w:val="Hyperlink"/>
          </w:rPr>
          <w:t>LA</w:t>
        </w:r>
      </w:hyperlink>
      <w:r w:rsidRPr="00FC211B">
        <w:t>.</w:t>
      </w:r>
    </w:p>
    <w:p w14:paraId="450717B8" w14:textId="77777777" w:rsidR="00E86304" w:rsidRPr="00FD274F" w:rsidRDefault="00E86304" w:rsidP="00E86304">
      <w:pPr>
        <w:pStyle w:val="BodyNum"/>
      </w:pPr>
      <w:r w:rsidRPr="00FD274F">
        <w:t>Although rule</w:t>
      </w:r>
      <w:r>
        <w:noBreakHyphen/>
      </w:r>
      <w:r w:rsidRPr="00FD274F">
        <w:t xml:space="preserve">makers are responsible for ensuring that the requirements of </w:t>
      </w:r>
      <w:r w:rsidRPr="00FC211B">
        <w:t xml:space="preserve">the </w:t>
      </w:r>
      <w:hyperlink r:id="rId47" w:history="1">
        <w:r w:rsidRPr="00FC211B">
          <w:rPr>
            <w:rStyle w:val="Hyperlink"/>
          </w:rPr>
          <w:t>LA</w:t>
        </w:r>
      </w:hyperlink>
      <w:r>
        <w:t xml:space="preserve"> </w:t>
      </w:r>
      <w:r w:rsidRPr="00FD274F">
        <w:t>are met, agencies play an important role advising rule</w:t>
      </w:r>
      <w:r>
        <w:noBreakHyphen/>
      </w:r>
      <w:r w:rsidRPr="00FD274F">
        <w:t xml:space="preserve">makers on their powers and obligations, </w:t>
      </w:r>
      <w:r w:rsidRPr="00FD274F">
        <w:lastRenderedPageBreak/>
        <w:t>and taking care of administrative matters such as lodgement of instruments and other material for registration, preparation of compilations if required, and payment of associated fees.</w:t>
      </w:r>
    </w:p>
    <w:p w14:paraId="3C25BB05" w14:textId="77777777" w:rsidR="00E86304" w:rsidRPr="00FD274F" w:rsidRDefault="00E86304" w:rsidP="00E86304">
      <w:pPr>
        <w:pStyle w:val="Head3"/>
      </w:pPr>
      <w:bookmarkStart w:id="18" w:name="_Toc238117529"/>
      <w:bookmarkStart w:id="19" w:name="_Ref367445999"/>
      <w:r w:rsidRPr="00FD274F">
        <w:t>What is an instrument?</w:t>
      </w:r>
      <w:bookmarkEnd w:id="18"/>
    </w:p>
    <w:p w14:paraId="0E848C1B" w14:textId="77777777" w:rsidR="00E86304" w:rsidRPr="00FD274F" w:rsidRDefault="00E86304" w:rsidP="00E86304">
      <w:pPr>
        <w:pStyle w:val="BodyNum"/>
      </w:pPr>
      <w:r w:rsidRPr="00FD274F">
        <w:t xml:space="preserve">An </w:t>
      </w:r>
      <w:r w:rsidRPr="00FD274F">
        <w:rPr>
          <w:b/>
          <w:i/>
        </w:rPr>
        <w:t>instrument</w:t>
      </w:r>
      <w:r w:rsidRPr="00FD274F">
        <w:t xml:space="preserve"> means any writing or other document, and includes an instrument in electronic form </w:t>
      </w:r>
      <w:r w:rsidRPr="00E970D8">
        <w:t>(</w:t>
      </w:r>
      <w:hyperlink r:id="rId48" w:history="1">
        <w:r w:rsidRPr="00E970D8">
          <w:rPr>
            <w:rStyle w:val="Hyperlink"/>
          </w:rPr>
          <w:t>LA</w:t>
        </w:r>
      </w:hyperlink>
      <w:r w:rsidRPr="00E970D8">
        <w:t xml:space="preserve"> s 4). For</w:t>
      </w:r>
      <w:r w:rsidRPr="00FD274F">
        <w:t xml:space="preserve"> the purposes of complying with th</w:t>
      </w:r>
      <w:r w:rsidRPr="00E970D8">
        <w:t xml:space="preserve">e </w:t>
      </w:r>
      <w:hyperlink r:id="rId49" w:history="1">
        <w:r w:rsidRPr="00E970D8">
          <w:rPr>
            <w:rStyle w:val="Hyperlink"/>
          </w:rPr>
          <w:t>LA</w:t>
        </w:r>
      </w:hyperlink>
      <w:r w:rsidRPr="00E970D8">
        <w:t>,</w:t>
      </w:r>
      <w:r w:rsidRPr="00FD274F">
        <w:t xml:space="preserve"> there are three distinct types of instrument to consider:</w:t>
      </w:r>
    </w:p>
    <w:p w14:paraId="0DFFA0C2" w14:textId="77777777" w:rsidR="00E86304" w:rsidRPr="00FD274F" w:rsidRDefault="00E86304" w:rsidP="00E86304">
      <w:pPr>
        <w:pStyle w:val="BodyPara"/>
      </w:pPr>
      <w:r w:rsidRPr="00FD274F">
        <w:rPr>
          <w:b/>
          <w:i/>
        </w:rPr>
        <w:t>legislative instruments</w:t>
      </w:r>
      <w:r w:rsidRPr="009805B7">
        <w:rPr>
          <w:rStyle w:val="FootnoteReference"/>
        </w:rPr>
        <w:footnoteReference w:id="5"/>
      </w:r>
      <w:r w:rsidRPr="00FD274F">
        <w:t xml:space="preserve">, which are subject to additional requirements as outlined in </w:t>
      </w:r>
      <w:hyperlink w:anchor="Chapter7" w:history="1">
        <w:r w:rsidRPr="004A7454">
          <w:rPr>
            <w:rStyle w:val="Hyperlink"/>
          </w:rPr>
          <w:t>Part 2</w:t>
        </w:r>
      </w:hyperlink>
      <w:r w:rsidRPr="00FD274F">
        <w:t>; and</w:t>
      </w:r>
    </w:p>
    <w:p w14:paraId="22C6E7C1" w14:textId="77777777" w:rsidR="00E86304" w:rsidRPr="00FD274F" w:rsidRDefault="00E86304" w:rsidP="00E86304">
      <w:pPr>
        <w:pStyle w:val="BodyPara"/>
      </w:pPr>
      <w:r w:rsidRPr="00FD274F">
        <w:rPr>
          <w:b/>
          <w:i/>
        </w:rPr>
        <w:t>notifiable instruments</w:t>
      </w:r>
      <w:r w:rsidRPr="00FD274F">
        <w:t>; and</w:t>
      </w:r>
    </w:p>
    <w:p w14:paraId="43B59035" w14:textId="77777777" w:rsidR="00E86304" w:rsidRPr="00FD274F" w:rsidRDefault="00E86304" w:rsidP="00E86304">
      <w:pPr>
        <w:pStyle w:val="BodyPara"/>
      </w:pPr>
      <w:r w:rsidRPr="00FD274F">
        <w:t>other instruments</w:t>
      </w:r>
      <w:r>
        <w:t xml:space="preserve"> </w:t>
      </w:r>
      <w:r w:rsidRPr="00FD274F">
        <w:t>that are</w:t>
      </w:r>
      <w:r>
        <w:t xml:space="preserve"> not required to be registered.</w:t>
      </w:r>
    </w:p>
    <w:p w14:paraId="276A2AD4" w14:textId="77777777" w:rsidR="00E86304" w:rsidRPr="00FD274F" w:rsidRDefault="00E86304" w:rsidP="00E86304">
      <w:pPr>
        <w:pStyle w:val="BodyNum"/>
      </w:pPr>
      <w:r>
        <w:t xml:space="preserve">To identify the type of instrument, it is necessary to </w:t>
      </w:r>
      <w:r w:rsidRPr="00FD274F">
        <w:t xml:space="preserve">look at the text of an instrument and see whether it commences, amends or repeals a registered law </w:t>
      </w:r>
      <w:r w:rsidRPr="00235C52">
        <w:t xml:space="preserve">(see paragraph </w:t>
      </w:r>
      <w:r w:rsidRPr="00E970D8">
        <w:fldChar w:fldCharType="begin"/>
      </w:r>
      <w:r w:rsidRPr="00235C52">
        <w:instrText xml:space="preserve"> REF _Ref442190512 \r \h  \* MERGEFORMAT </w:instrText>
      </w:r>
      <w:r w:rsidRPr="00E970D8">
        <w:fldChar w:fldCharType="separate"/>
      </w:r>
      <w:r>
        <w:t>24</w:t>
      </w:r>
      <w:r w:rsidRPr="00E970D8">
        <w:fldChar w:fldCharType="end"/>
      </w:r>
      <w:r w:rsidRPr="00235C52">
        <w:t>). F</w:t>
      </w:r>
      <w:r w:rsidRPr="00FD274F">
        <w:t>or instruments that are stand</w:t>
      </w:r>
      <w:r>
        <w:noBreakHyphen/>
      </w:r>
      <w:r w:rsidRPr="00FD274F">
        <w:t xml:space="preserve">alone or </w:t>
      </w:r>
      <w:r w:rsidRPr="00FD274F">
        <w:rPr>
          <w:b/>
          <w:i/>
        </w:rPr>
        <w:t>principal instruments</w:t>
      </w:r>
      <w:r w:rsidRPr="00FD274F">
        <w:t>, it is necessary to establish whether an instrument:</w:t>
      </w:r>
    </w:p>
    <w:p w14:paraId="2EF9DE3C" w14:textId="77777777" w:rsidR="00E86304" w:rsidRPr="00FD274F" w:rsidRDefault="00E86304" w:rsidP="00E86304">
      <w:pPr>
        <w:pStyle w:val="BodyPara"/>
      </w:pPr>
      <w:r w:rsidRPr="00FD274F">
        <w:t>has been declared to be a legislative instrument (</w:t>
      </w:r>
      <w:r w:rsidRPr="00235C52">
        <w:t xml:space="preserve">paragraph </w:t>
      </w:r>
      <w:r w:rsidRPr="00235C52">
        <w:fldChar w:fldCharType="begin"/>
      </w:r>
      <w:r w:rsidRPr="00E970D8">
        <w:instrText xml:space="preserve"> REF _Ref367445987 \r \h  \* MERGEFORMAT </w:instrText>
      </w:r>
      <w:r w:rsidRPr="00235C52">
        <w:fldChar w:fldCharType="separate"/>
      </w:r>
      <w:r>
        <w:t>27</w:t>
      </w:r>
      <w:r w:rsidRPr="00235C52">
        <w:fldChar w:fldCharType="end"/>
      </w:r>
      <w:r w:rsidRPr="00235C52">
        <w:t>); or</w:t>
      </w:r>
    </w:p>
    <w:p w14:paraId="42CF67C2" w14:textId="77777777" w:rsidR="00E86304" w:rsidRPr="00FD274F" w:rsidRDefault="00E86304" w:rsidP="00E86304">
      <w:pPr>
        <w:pStyle w:val="BodyPara"/>
      </w:pPr>
      <w:r w:rsidRPr="00FD274F">
        <w:t>has been declared to be a notifiable instrumen</w:t>
      </w:r>
      <w:r w:rsidRPr="00235C52">
        <w:t xml:space="preserve">t (paragraph </w:t>
      </w:r>
      <w:r w:rsidRPr="00E970D8">
        <w:fldChar w:fldCharType="begin"/>
      </w:r>
      <w:r w:rsidRPr="00235C52">
        <w:instrText xml:space="preserve"> REF _Ref442195914 \r \h  \* MERGEFORMAT </w:instrText>
      </w:r>
      <w:r w:rsidRPr="00E970D8">
        <w:fldChar w:fldCharType="separate"/>
      </w:r>
      <w:r>
        <w:t>32</w:t>
      </w:r>
      <w:r w:rsidRPr="00E970D8">
        <w:fldChar w:fldCharType="end"/>
      </w:r>
      <w:r w:rsidRPr="00235C52">
        <w:t>); or</w:t>
      </w:r>
    </w:p>
    <w:p w14:paraId="29CC4DA7" w14:textId="77777777" w:rsidR="00E86304" w:rsidRPr="00FD274F" w:rsidRDefault="00E86304" w:rsidP="00E86304">
      <w:pPr>
        <w:pStyle w:val="BodyPara"/>
      </w:pPr>
      <w:r w:rsidRPr="00FD274F">
        <w:t xml:space="preserve">is subject to other criteria including, in some cases, whether the instrument is of legislative character </w:t>
      </w:r>
      <w:r w:rsidRPr="0009463D">
        <w:t xml:space="preserve">(paragraphs </w:t>
      </w:r>
      <w:r w:rsidRPr="00E970D8">
        <w:fldChar w:fldCharType="begin"/>
      </w:r>
      <w:r w:rsidRPr="0009463D">
        <w:instrText xml:space="preserve"> REF _Ref442196278 \r \h  \* MERGEFORMAT </w:instrText>
      </w:r>
      <w:r w:rsidRPr="00E970D8">
        <w:fldChar w:fldCharType="separate"/>
      </w:r>
      <w:r>
        <w:t>35</w:t>
      </w:r>
      <w:r w:rsidRPr="00E970D8">
        <w:fldChar w:fldCharType="end"/>
      </w:r>
      <w:r w:rsidRPr="0009463D">
        <w:t xml:space="preserve"> to </w:t>
      </w:r>
      <w:r w:rsidRPr="00E970D8">
        <w:fldChar w:fldCharType="begin"/>
      </w:r>
      <w:r w:rsidRPr="0009463D">
        <w:instrText xml:space="preserve"> REF _Ref444606268 \r \h  \* MERGEFORMAT </w:instrText>
      </w:r>
      <w:r w:rsidRPr="00E970D8">
        <w:fldChar w:fldCharType="separate"/>
      </w:r>
      <w:r>
        <w:t>37</w:t>
      </w:r>
      <w:r w:rsidRPr="00E970D8">
        <w:fldChar w:fldCharType="end"/>
      </w:r>
      <w:r w:rsidRPr="0009463D">
        <w:t>).</w:t>
      </w:r>
    </w:p>
    <w:p w14:paraId="1DCBC0C8" w14:textId="77777777" w:rsidR="00E86304" w:rsidRPr="00FD274F" w:rsidRDefault="00E86304" w:rsidP="00E86304">
      <w:pPr>
        <w:pStyle w:val="BodyNum"/>
      </w:pPr>
      <w:r>
        <w:t>It cannot be assumed that</w:t>
      </w:r>
      <w:r w:rsidRPr="00FD274F">
        <w:t xml:space="preserve"> a legislative instrument is of legislative character. The fact that an instrument is a legislative instrument does not imply that it is or must be of legislative charact</w:t>
      </w:r>
      <w:r w:rsidRPr="00A01157">
        <w:t>er (</w:t>
      </w:r>
      <w:hyperlink r:id="rId50" w:history="1">
        <w:r w:rsidRPr="00A01157">
          <w:rPr>
            <w:rStyle w:val="Hyperlink"/>
          </w:rPr>
          <w:t>LA</w:t>
        </w:r>
      </w:hyperlink>
      <w:r w:rsidRPr="00A01157">
        <w:t xml:space="preserve"> s 9(1)).</w:t>
      </w:r>
      <w:r w:rsidRPr="00FD274F">
        <w:t xml:space="preserve"> The reverse is also true: the fact that an instrument is not a legislative instrument does not imply that it is not or must not be of legislative chara</w:t>
      </w:r>
      <w:r w:rsidRPr="00A01157">
        <w:t>cter (</w:t>
      </w:r>
      <w:hyperlink r:id="rId51" w:history="1">
        <w:r w:rsidRPr="00A01157">
          <w:rPr>
            <w:rStyle w:val="Hyperlink"/>
          </w:rPr>
          <w:t>LA</w:t>
        </w:r>
      </w:hyperlink>
      <w:r w:rsidRPr="00A01157">
        <w:t xml:space="preserve"> s 9(2))</w:t>
      </w:r>
      <w:r w:rsidRPr="00FD274F">
        <w:t>.</w:t>
      </w:r>
    </w:p>
    <w:p w14:paraId="2CAF8C94" w14:textId="77777777" w:rsidR="00E86304" w:rsidRPr="00FD274F" w:rsidRDefault="00E86304" w:rsidP="00E86304">
      <w:pPr>
        <w:pStyle w:val="Head4"/>
      </w:pPr>
      <w:r w:rsidRPr="00FD274F">
        <w:t>Instruments that commence, amend or repeal registered laws</w:t>
      </w:r>
    </w:p>
    <w:p w14:paraId="65B0CE06" w14:textId="77777777" w:rsidR="00E86304" w:rsidRPr="00FD274F" w:rsidRDefault="00E86304" w:rsidP="00E86304">
      <w:pPr>
        <w:pStyle w:val="BodyNum"/>
      </w:pPr>
      <w:bookmarkStart w:id="20" w:name="_Ref442190512"/>
      <w:r w:rsidRPr="00FD274F">
        <w:t xml:space="preserve">An instrument must be lodged for registration if it commences, amends or repeals a registered instrument, Act or provision of such an instrument or Act (a </w:t>
      </w:r>
      <w:r w:rsidRPr="00FD274F">
        <w:rPr>
          <w:b/>
          <w:i/>
        </w:rPr>
        <w:t>r</w:t>
      </w:r>
      <w:r w:rsidRPr="0009463D">
        <w:rPr>
          <w:b/>
          <w:i/>
        </w:rPr>
        <w:t>egistered law</w:t>
      </w:r>
      <w:r w:rsidRPr="0009463D">
        <w:t>).</w:t>
      </w:r>
      <w:bookmarkEnd w:id="20"/>
    </w:p>
    <w:p w14:paraId="4ADCA83A" w14:textId="77777777" w:rsidR="00E86304" w:rsidRPr="00FD274F" w:rsidRDefault="00E86304" w:rsidP="00E86304">
      <w:pPr>
        <w:pStyle w:val="BodyNum"/>
      </w:pPr>
      <w:r w:rsidRPr="00FD274F">
        <w:t xml:space="preserve">An instrument that has the sole effect of commencing a registered law (a </w:t>
      </w:r>
      <w:r w:rsidRPr="0009463D">
        <w:rPr>
          <w:b/>
          <w:i/>
        </w:rPr>
        <w:t>commencement instrument</w:t>
      </w:r>
      <w:r w:rsidRPr="0009463D">
        <w:t>)</w:t>
      </w:r>
      <w:r w:rsidRPr="00FD274F">
        <w:t xml:space="preserve"> must in all cases be lodged for registration as a notifiable instrume</w:t>
      </w:r>
      <w:r w:rsidRPr="00A01157">
        <w:t>nt (</w:t>
      </w:r>
      <w:hyperlink r:id="rId52" w:history="1">
        <w:r w:rsidRPr="00A01157">
          <w:rPr>
            <w:rStyle w:val="Hyperlink"/>
          </w:rPr>
          <w:t>LA</w:t>
        </w:r>
      </w:hyperlink>
      <w:r w:rsidRPr="00A01157">
        <w:t xml:space="preserve"> s 4 and 11(2)(a)). T</w:t>
      </w:r>
      <w:r w:rsidRPr="00FD274F">
        <w:t>his also applies to any instrument that announces the day that an international agreement enters into force for Australia, regardless of whether the treaty itself is ever registered (</w:t>
      </w:r>
      <w:hyperlink r:id="rId53" w:history="1">
        <w:hyperlink r:id="rId54" w:history="1">
          <w:r w:rsidRPr="0053438B">
            <w:rPr>
              <w:rStyle w:val="Hyperlink"/>
            </w:rPr>
            <w:t>LEOMR</w:t>
          </w:r>
        </w:hyperlink>
      </w:hyperlink>
      <w:r w:rsidRPr="0053438B">
        <w:t xml:space="preserve"> s 8 item 1).</w:t>
      </w:r>
    </w:p>
    <w:p w14:paraId="0E2E9011" w14:textId="77777777" w:rsidR="00E86304" w:rsidRPr="00FD274F" w:rsidRDefault="00E86304" w:rsidP="00E86304">
      <w:pPr>
        <w:pStyle w:val="BodyNum"/>
      </w:pPr>
      <w:r w:rsidRPr="00FD274F">
        <w:t>An instrument that amends or repeals a registered law must also be lodged for registration. If it only affects notifiable instruments, it must be lodged as a notifiable instrume</w:t>
      </w:r>
      <w:r w:rsidRPr="00A01157">
        <w:t>nt (</w:t>
      </w:r>
      <w:hyperlink r:id="rId55" w:history="1">
        <w:r w:rsidRPr="00A01157">
          <w:rPr>
            <w:rStyle w:val="Hyperlink"/>
          </w:rPr>
          <w:t>LA</w:t>
        </w:r>
      </w:hyperlink>
      <w:r w:rsidRPr="00A01157">
        <w:t xml:space="preserve"> s 11(2)(d)). O</w:t>
      </w:r>
      <w:r w:rsidRPr="00FD274F">
        <w:t>therwise, unless the instrument’s enabling Act specifies otherwise, it must be lodged as a legislative instrument (</w:t>
      </w:r>
      <w:hyperlink r:id="rId56" w:history="1">
        <w:r w:rsidRPr="00A01157">
          <w:rPr>
            <w:rStyle w:val="Hyperlink"/>
          </w:rPr>
          <w:t>LA</w:t>
        </w:r>
      </w:hyperlink>
      <w:r w:rsidRPr="00A01157">
        <w:t xml:space="preserve"> s 10(1)(d)).</w:t>
      </w:r>
    </w:p>
    <w:p w14:paraId="2B598B3B" w14:textId="77777777" w:rsidR="00E86304" w:rsidRPr="00FD274F" w:rsidRDefault="00E86304" w:rsidP="00E86304">
      <w:pPr>
        <w:pStyle w:val="Head4"/>
      </w:pPr>
      <w:r w:rsidRPr="00FD274F">
        <w:lastRenderedPageBreak/>
        <w:t>Instruments declared to be legislative instruments</w:t>
      </w:r>
    </w:p>
    <w:p w14:paraId="253F32F9" w14:textId="77777777" w:rsidR="00E86304" w:rsidRPr="00FD274F" w:rsidRDefault="00E86304" w:rsidP="00E86304">
      <w:pPr>
        <w:pStyle w:val="BodyNum"/>
        <w:keepNext/>
      </w:pPr>
      <w:bookmarkStart w:id="21" w:name="_Ref367445987"/>
      <w:r w:rsidRPr="00FD274F">
        <w:t>An instrument’s enabling legislation ma</w:t>
      </w:r>
      <w:r w:rsidRPr="00A01157">
        <w:t>y declare it to be a legislative instrument. Examples of provisions that do this are as follows (</w:t>
      </w:r>
      <w:hyperlink r:id="rId57" w:history="1">
        <w:r w:rsidRPr="00A01157">
          <w:rPr>
            <w:rStyle w:val="Hyperlink"/>
          </w:rPr>
          <w:t>LA</w:t>
        </w:r>
      </w:hyperlink>
      <w:r w:rsidRPr="00A01157">
        <w:t xml:space="preserve"> s 8(2)):</w:t>
      </w:r>
      <w:bookmarkEnd w:id="21"/>
    </w:p>
    <w:p w14:paraId="04933A73" w14:textId="77777777" w:rsidR="00E86304" w:rsidRPr="00FD274F" w:rsidRDefault="00E86304" w:rsidP="00E86304">
      <w:pPr>
        <w:pStyle w:val="BodyPara"/>
      </w:pPr>
      <w:r w:rsidRPr="00FD274F">
        <w:t>“The Minister may, by legislative instrument, determine licence conditions…”;</w:t>
      </w:r>
    </w:p>
    <w:p w14:paraId="1F3605E7" w14:textId="77777777" w:rsidR="00E86304" w:rsidRPr="00FD274F" w:rsidRDefault="00E86304" w:rsidP="00E86304">
      <w:pPr>
        <w:pStyle w:val="BodyPara"/>
      </w:pPr>
      <w:r w:rsidRPr="00FD274F">
        <w:t>“An instrument made under ... is a legislative instrument”.</w:t>
      </w:r>
    </w:p>
    <w:p w14:paraId="768D2444" w14:textId="77777777" w:rsidR="00E86304" w:rsidRPr="00FD274F" w:rsidRDefault="00E86304" w:rsidP="00E86304">
      <w:pPr>
        <w:pStyle w:val="BodyNum"/>
      </w:pPr>
      <w:r w:rsidRPr="00FD274F">
        <w:t xml:space="preserve">The </w:t>
      </w:r>
      <w:hyperlink r:id="rId58" w:history="1">
        <w:r w:rsidRPr="006F45CA">
          <w:rPr>
            <w:rStyle w:val="Hyperlink"/>
          </w:rPr>
          <w:t>LA</w:t>
        </w:r>
      </w:hyperlink>
      <w:r w:rsidRPr="006F45CA">
        <w:t xml:space="preserve"> a</w:t>
      </w:r>
      <w:r w:rsidRPr="00FD274F">
        <w:t>lso declares the following to be a legislative instrument:</w:t>
      </w:r>
    </w:p>
    <w:p w14:paraId="1FB52B22" w14:textId="77777777" w:rsidR="00E86304" w:rsidRPr="00FD274F" w:rsidRDefault="00E86304" w:rsidP="00E86304">
      <w:pPr>
        <w:pStyle w:val="BodyPara"/>
      </w:pPr>
      <w:r w:rsidRPr="00FD274F">
        <w:t xml:space="preserve">an instrument described as a regulation by its enabling legislation </w:t>
      </w:r>
      <w:r w:rsidRPr="006F45CA">
        <w:t>(</w:t>
      </w:r>
      <w:hyperlink r:id="rId59" w:history="1">
        <w:r w:rsidRPr="006F45CA">
          <w:rPr>
            <w:rStyle w:val="Hyperlink"/>
          </w:rPr>
          <w:t>LA</w:t>
        </w:r>
      </w:hyperlink>
      <w:r w:rsidRPr="006F45CA">
        <w:t> s 10(1)(a));</w:t>
      </w:r>
    </w:p>
    <w:p w14:paraId="04447685" w14:textId="77777777" w:rsidR="00E86304" w:rsidRPr="00FD274F" w:rsidRDefault="00E86304" w:rsidP="00E86304">
      <w:pPr>
        <w:pStyle w:val="BodyPara"/>
      </w:pPr>
      <w:r w:rsidRPr="00FD274F">
        <w:t>an instrument described as a Proclamation by its enabling legislation, unless it is a commencement inst</w:t>
      </w:r>
      <w:r w:rsidRPr="006F45CA">
        <w:t>rument (</w:t>
      </w:r>
      <w:hyperlink r:id="rId60" w:history="1">
        <w:r w:rsidRPr="006F45CA">
          <w:rPr>
            <w:rStyle w:val="Hyperlink"/>
          </w:rPr>
          <w:t>LA</w:t>
        </w:r>
      </w:hyperlink>
      <w:r w:rsidRPr="006F45CA">
        <w:t xml:space="preserve"> s 10(1)(a) and 11(2));</w:t>
      </w:r>
    </w:p>
    <w:p w14:paraId="51838483" w14:textId="77777777" w:rsidR="00E86304" w:rsidRPr="00FD274F" w:rsidRDefault="00E86304" w:rsidP="00E86304">
      <w:pPr>
        <w:pStyle w:val="BodyPara"/>
      </w:pPr>
      <w:r w:rsidRPr="00FD274F">
        <w:t xml:space="preserve">an ordinance that deals with certain aspects of the governance of Australian Territories (for </w:t>
      </w:r>
      <w:r w:rsidRPr="006F45CA">
        <w:t>details</w:t>
      </w:r>
      <w:r>
        <w:t>,</w:t>
      </w:r>
      <w:r w:rsidRPr="006F45CA">
        <w:t xml:space="preserve"> see </w:t>
      </w:r>
      <w:hyperlink r:id="rId61" w:history="1">
        <w:r w:rsidRPr="006F45CA">
          <w:rPr>
            <w:rStyle w:val="Hyperlink"/>
          </w:rPr>
          <w:t>LA</w:t>
        </w:r>
      </w:hyperlink>
      <w:r w:rsidRPr="006F45CA">
        <w:t xml:space="preserve"> s 10(1)(b) and 10(2));</w:t>
      </w:r>
    </w:p>
    <w:p w14:paraId="3D7F7845" w14:textId="77777777" w:rsidR="00E86304" w:rsidRPr="00FD274F" w:rsidRDefault="00E86304" w:rsidP="00E86304">
      <w:pPr>
        <w:pStyle w:val="BodyPara"/>
      </w:pPr>
      <w:r w:rsidRPr="00FD274F">
        <w:t xml:space="preserve">an instrument prescribed by regulation </w:t>
      </w:r>
      <w:r w:rsidRPr="006F45CA">
        <w:t>(</w:t>
      </w:r>
      <w:hyperlink r:id="rId62" w:history="1">
        <w:r w:rsidRPr="006F45CA">
          <w:rPr>
            <w:rStyle w:val="Hyperlink"/>
          </w:rPr>
          <w:t>LA</w:t>
        </w:r>
      </w:hyperlink>
      <w:r w:rsidRPr="006F45CA">
        <w:t xml:space="preserve"> s 10(1)(c));</w:t>
      </w:r>
    </w:p>
    <w:p w14:paraId="5E35D15F" w14:textId="77777777" w:rsidR="00E86304" w:rsidRPr="00FD274F" w:rsidRDefault="00E86304" w:rsidP="00E86304">
      <w:pPr>
        <w:pStyle w:val="BodyPara"/>
      </w:pPr>
      <w:r w:rsidRPr="00FD274F">
        <w:t>an instrument that includes a provision that amends or repeals another legislative instrumen</w:t>
      </w:r>
      <w:r w:rsidRPr="006F45CA">
        <w:t>t (</w:t>
      </w:r>
      <w:hyperlink r:id="rId63" w:history="1">
        <w:r w:rsidRPr="006F45CA">
          <w:rPr>
            <w:rStyle w:val="Hyperlink"/>
          </w:rPr>
          <w:t>LA</w:t>
        </w:r>
      </w:hyperlink>
      <w:r w:rsidRPr="006F45CA">
        <w:t xml:space="preserve"> s 10(1)(d));</w:t>
      </w:r>
    </w:p>
    <w:p w14:paraId="51AE0F57" w14:textId="77777777" w:rsidR="00E86304" w:rsidRPr="00FD274F" w:rsidRDefault="00E86304" w:rsidP="00E86304">
      <w:pPr>
        <w:pStyle w:val="BodyPara"/>
      </w:pPr>
      <w:r w:rsidRPr="00FD274F">
        <w:t xml:space="preserve">any instrument that is registered as a legislative instrument, unless it is a notifiable instrument that meets certain criteria </w:t>
      </w:r>
      <w:r w:rsidRPr="006F45CA">
        <w:t>(</w:t>
      </w:r>
      <w:hyperlink r:id="rId64" w:history="1">
        <w:r w:rsidRPr="006F45CA">
          <w:rPr>
            <w:rStyle w:val="Hyperlink"/>
          </w:rPr>
          <w:t>LA</w:t>
        </w:r>
      </w:hyperlink>
      <w:r w:rsidRPr="006F45CA">
        <w:t xml:space="preserve"> s 8(8)).</w:t>
      </w:r>
    </w:p>
    <w:p w14:paraId="1D8F50AD" w14:textId="77777777" w:rsidR="00E86304" w:rsidRPr="005262F0" w:rsidRDefault="00E86304" w:rsidP="00E86304">
      <w:pPr>
        <w:pStyle w:val="BodyNum"/>
      </w:pPr>
      <w:r w:rsidRPr="005262F0">
        <w:t xml:space="preserve">Commonwealth rules of court are not legislative instruments </w:t>
      </w:r>
      <w:r w:rsidRPr="006F45CA">
        <w:t>(</w:t>
      </w:r>
      <w:hyperlink r:id="rId65" w:history="1">
        <w:r w:rsidRPr="006F45CA">
          <w:rPr>
            <w:rStyle w:val="Hyperlink"/>
          </w:rPr>
          <w:t>LA</w:t>
        </w:r>
      </w:hyperlink>
      <w:r w:rsidRPr="006F45CA">
        <w:t xml:space="preserve"> s 8(8)(d)).</w:t>
      </w:r>
      <w:r w:rsidRPr="005262F0">
        <w:t xml:space="preserve"> However, the enabling legislation for Commonwealth rules of court has the effect that the </w:t>
      </w:r>
      <w:hyperlink r:id="rId66" w:history="1">
        <w:r w:rsidRPr="006F45CA">
          <w:rPr>
            <w:rStyle w:val="Hyperlink"/>
          </w:rPr>
          <w:t>LA</w:t>
        </w:r>
      </w:hyperlink>
      <w:r w:rsidRPr="005262F0">
        <w:t xml:space="preserve"> generally applies in relation to the rules of court as if a reference in t</w:t>
      </w:r>
      <w:r w:rsidRPr="006F45CA">
        <w:t xml:space="preserve">he </w:t>
      </w:r>
      <w:hyperlink r:id="rId67" w:history="1">
        <w:r w:rsidRPr="006F45CA">
          <w:rPr>
            <w:rStyle w:val="Hyperlink"/>
          </w:rPr>
          <w:t>LA</w:t>
        </w:r>
      </w:hyperlink>
      <w:r w:rsidRPr="006F45CA">
        <w:t xml:space="preserve"> to</w:t>
      </w:r>
      <w:r w:rsidRPr="005262F0">
        <w:t xml:space="preserve"> a legislative instrument were a reference to a rule of court. This means that the rules of court are subject to most of the provisions of th</w:t>
      </w:r>
      <w:r w:rsidRPr="006F45CA">
        <w:t xml:space="preserve">e </w:t>
      </w:r>
      <w:hyperlink r:id="rId68" w:history="1">
        <w:r w:rsidRPr="006F45CA">
          <w:rPr>
            <w:rStyle w:val="Hyperlink"/>
          </w:rPr>
          <w:t>LA</w:t>
        </w:r>
      </w:hyperlink>
      <w:r w:rsidRPr="006F45CA">
        <w:t>, includi</w:t>
      </w:r>
      <w:r w:rsidRPr="005262F0">
        <w:t>ng the provisions about registration</w:t>
      </w:r>
      <w:r>
        <w:t>, publication</w:t>
      </w:r>
      <w:r w:rsidRPr="005262F0">
        <w:t xml:space="preserve"> and disallowance</w:t>
      </w:r>
      <w:r>
        <w:t>.</w:t>
      </w:r>
    </w:p>
    <w:p w14:paraId="1E16CF0C" w14:textId="77777777" w:rsidR="00E86304" w:rsidRPr="00C04082" w:rsidRDefault="00E86304" w:rsidP="00E86304">
      <w:pPr>
        <w:pStyle w:val="BodyNum"/>
      </w:pPr>
      <w:r>
        <w:t>The exception is that sunsetting does not apply to most rules of court</w:t>
      </w:r>
      <w:r w:rsidRPr="00C04082">
        <w:t>.</w:t>
      </w:r>
    </w:p>
    <w:p w14:paraId="6C11BCCC" w14:textId="77777777" w:rsidR="00E86304" w:rsidRPr="00FD274F" w:rsidRDefault="00E86304" w:rsidP="00E86304">
      <w:pPr>
        <w:pStyle w:val="BodyNum"/>
      </w:pPr>
      <w:r w:rsidRPr="00FD274F">
        <w:t>If an instrument is declared to be a legislative instrument, no further action is required to establish its status under th</w:t>
      </w:r>
      <w:r w:rsidRPr="006F45CA">
        <w:t xml:space="preserve">e </w:t>
      </w:r>
      <w:hyperlink r:id="rId69" w:history="1">
        <w:r w:rsidRPr="006F45CA">
          <w:rPr>
            <w:rStyle w:val="Hyperlink"/>
          </w:rPr>
          <w:t>LA</w:t>
        </w:r>
      </w:hyperlink>
      <w:r w:rsidRPr="006F45CA">
        <w:t>.</w:t>
      </w:r>
    </w:p>
    <w:p w14:paraId="7F84DC36" w14:textId="77777777" w:rsidR="00E86304" w:rsidRPr="00FD274F" w:rsidRDefault="00E86304" w:rsidP="00E86304">
      <w:pPr>
        <w:pStyle w:val="Head4"/>
      </w:pPr>
      <w:r w:rsidRPr="00FD274F">
        <w:t>Instruments declared to be notifiable instruments</w:t>
      </w:r>
    </w:p>
    <w:p w14:paraId="2700F86F" w14:textId="77777777" w:rsidR="00E86304" w:rsidRPr="00FD274F" w:rsidRDefault="00E86304" w:rsidP="00E86304">
      <w:pPr>
        <w:pStyle w:val="BodyNum"/>
      </w:pPr>
      <w:bookmarkStart w:id="22" w:name="_Ref442195914"/>
      <w:r w:rsidRPr="00FD274F">
        <w:t>An instrument’s enabling legislation may declare it to be a notifiable instrument. Examples of provisions that do this are as follows (</w:t>
      </w:r>
      <w:hyperlink r:id="rId70" w:history="1">
        <w:r w:rsidRPr="006F45CA">
          <w:rPr>
            <w:rStyle w:val="Hyperlink"/>
          </w:rPr>
          <w:t>LA</w:t>
        </w:r>
      </w:hyperlink>
      <w:r w:rsidRPr="006F45CA">
        <w:t xml:space="preserve"> s 11(1)):</w:t>
      </w:r>
      <w:bookmarkEnd w:id="22"/>
    </w:p>
    <w:p w14:paraId="6B4774B1" w14:textId="77777777" w:rsidR="00E86304" w:rsidRPr="00FD274F" w:rsidRDefault="00E86304" w:rsidP="00E86304">
      <w:pPr>
        <w:pStyle w:val="BodyPara"/>
      </w:pPr>
      <w:r w:rsidRPr="00FD274F">
        <w:t>“The Minister may, by notifiable instrument, approve a form…”;</w:t>
      </w:r>
    </w:p>
    <w:p w14:paraId="2F54973F" w14:textId="77777777" w:rsidR="00E86304" w:rsidRPr="00FD274F" w:rsidRDefault="00E86304" w:rsidP="00E86304">
      <w:pPr>
        <w:pStyle w:val="BodyPara"/>
      </w:pPr>
      <w:r w:rsidRPr="00FD274F">
        <w:t>“An instrument made under ... is a notifiable instrument”.</w:t>
      </w:r>
    </w:p>
    <w:p w14:paraId="5B3B29EC" w14:textId="77777777" w:rsidR="00E86304" w:rsidRPr="00FD274F" w:rsidRDefault="00E86304" w:rsidP="00E86304">
      <w:pPr>
        <w:pStyle w:val="BodyNum"/>
      </w:pPr>
      <w:r w:rsidRPr="00FD274F">
        <w:lastRenderedPageBreak/>
        <w:t xml:space="preserve">The </w:t>
      </w:r>
      <w:hyperlink r:id="rId71" w:history="1">
        <w:r w:rsidRPr="006F45CA">
          <w:rPr>
            <w:rStyle w:val="Hyperlink"/>
          </w:rPr>
          <w:t>LA</w:t>
        </w:r>
      </w:hyperlink>
      <w:r w:rsidRPr="0053438B">
        <w:t xml:space="preserve"> and </w:t>
      </w:r>
      <w:hyperlink r:id="rId72" w:history="1">
        <w:hyperlink r:id="rId73" w:history="1">
          <w:r w:rsidRPr="0053438B">
            <w:rPr>
              <w:rStyle w:val="Hyperlink"/>
            </w:rPr>
            <w:t>LEOMR</w:t>
          </w:r>
        </w:hyperlink>
      </w:hyperlink>
      <w:r w:rsidRPr="0053438B">
        <w:t xml:space="preserve"> also de</w:t>
      </w:r>
      <w:r w:rsidRPr="00FD274F">
        <w:t>clare the following to be a notifiable instrument:</w:t>
      </w:r>
    </w:p>
    <w:bookmarkEnd w:id="19"/>
    <w:p w14:paraId="07C41B01" w14:textId="77777777" w:rsidR="00E86304" w:rsidRPr="006F45CA" w:rsidRDefault="00E86304" w:rsidP="00E86304">
      <w:pPr>
        <w:pStyle w:val="BodyPara"/>
      </w:pPr>
      <w:r w:rsidRPr="00FD274F">
        <w:t xml:space="preserve">a commencement instrument that commences a registered law </w:t>
      </w:r>
      <w:r w:rsidRPr="006F45CA">
        <w:t>(</w:t>
      </w:r>
      <w:hyperlink r:id="rId74" w:history="1">
        <w:r w:rsidRPr="006F45CA">
          <w:rPr>
            <w:rStyle w:val="Hyperlink"/>
          </w:rPr>
          <w:t>LA</w:t>
        </w:r>
      </w:hyperlink>
      <w:r w:rsidRPr="006F45CA">
        <w:t xml:space="preserve"> s </w:t>
      </w:r>
      <w:r>
        <w:t xml:space="preserve">4 and </w:t>
      </w:r>
      <w:r w:rsidRPr="006F45CA">
        <w:t>8(8)(b)</w:t>
      </w:r>
      <w:r>
        <w:t>)</w:t>
      </w:r>
      <w:r w:rsidRPr="006F45CA">
        <w:t>;</w:t>
      </w:r>
    </w:p>
    <w:p w14:paraId="094CA7CB" w14:textId="77777777" w:rsidR="00E86304" w:rsidRPr="00FD274F" w:rsidRDefault="00E86304" w:rsidP="00E86304">
      <w:pPr>
        <w:pStyle w:val="BodyPara"/>
      </w:pPr>
      <w:r w:rsidRPr="00FD274F">
        <w:t xml:space="preserve">an instrument that announces the day an international agreement enters into force for Australia, regardless of whether the treaty itself has been registered </w:t>
      </w:r>
      <w:r w:rsidRPr="0053438B">
        <w:t>(</w:t>
      </w:r>
      <w:hyperlink r:id="rId75" w:history="1">
        <w:hyperlink r:id="rId76" w:history="1">
          <w:hyperlink r:id="rId77" w:history="1">
            <w:r w:rsidRPr="0053438B">
              <w:rPr>
                <w:rStyle w:val="Hyperlink"/>
              </w:rPr>
              <w:t>LEOMR</w:t>
            </w:r>
          </w:hyperlink>
        </w:hyperlink>
      </w:hyperlink>
      <w:r w:rsidRPr="0053438B">
        <w:t xml:space="preserve"> s 8 item 1).</w:t>
      </w:r>
    </w:p>
    <w:p w14:paraId="5CCDD396" w14:textId="77777777" w:rsidR="00E86304" w:rsidRPr="00FD274F" w:rsidRDefault="00E86304" w:rsidP="00E86304">
      <w:pPr>
        <w:pStyle w:val="BodyNum"/>
      </w:pPr>
      <w:r w:rsidRPr="00FD274F">
        <w:t>If an instrument is declared to be a notifiable instrument, no further action is required to establish its status under th</w:t>
      </w:r>
      <w:r w:rsidRPr="006F45CA">
        <w:t xml:space="preserve">e </w:t>
      </w:r>
      <w:hyperlink r:id="rId78" w:history="1">
        <w:r w:rsidRPr="006F45CA">
          <w:rPr>
            <w:rStyle w:val="Hyperlink"/>
          </w:rPr>
          <w:t>LA</w:t>
        </w:r>
      </w:hyperlink>
      <w:r w:rsidRPr="006F45CA">
        <w:t>.</w:t>
      </w:r>
    </w:p>
    <w:p w14:paraId="5F3B0E36" w14:textId="77777777" w:rsidR="00E86304" w:rsidRPr="00FD274F" w:rsidRDefault="00E86304" w:rsidP="00E86304">
      <w:pPr>
        <w:pStyle w:val="Head4"/>
      </w:pPr>
      <w:r w:rsidRPr="00FD274F">
        <w:t>Other instruments</w:t>
      </w:r>
    </w:p>
    <w:p w14:paraId="779D1CF5" w14:textId="77777777" w:rsidR="00E86304" w:rsidRPr="00FD274F" w:rsidRDefault="00E86304" w:rsidP="00E86304">
      <w:pPr>
        <w:pStyle w:val="BodyNum"/>
      </w:pPr>
      <w:bookmarkStart w:id="23" w:name="_Ref442196278"/>
      <w:r w:rsidRPr="00FD274F">
        <w:t>Sometimes an instrument’s enabling legislation will include a different kind of declaration to the effect that an instrument is not a legislative instrument</w:t>
      </w:r>
      <w:r>
        <w:t>,</w:t>
      </w:r>
      <w:r w:rsidRPr="00FD274F">
        <w:t xml:space="preserve"> or is not a notifiable instrument. </w:t>
      </w:r>
      <w:r w:rsidRPr="006F45CA">
        <w:t xml:space="preserve">The </w:t>
      </w:r>
      <w:hyperlink r:id="rId79" w:history="1">
        <w:r w:rsidRPr="006F45CA">
          <w:rPr>
            <w:rStyle w:val="Hyperlink"/>
          </w:rPr>
          <w:t>LA</w:t>
        </w:r>
      </w:hyperlink>
      <w:r w:rsidRPr="006F45CA">
        <w:t xml:space="preserve"> an</w:t>
      </w:r>
      <w:r w:rsidRPr="00317B28">
        <w:t xml:space="preserve">d </w:t>
      </w:r>
      <w:hyperlink r:id="rId80" w:history="1">
        <w:proofErr w:type="spellStart"/>
        <w:r w:rsidRPr="00317B28">
          <w:rPr>
            <w:rStyle w:val="Hyperlink"/>
          </w:rPr>
          <w:t>LEOMR</w:t>
        </w:r>
        <w:proofErr w:type="spellEnd"/>
      </w:hyperlink>
      <w:r w:rsidRPr="00317B28">
        <w:t xml:space="preserve"> also</w:t>
      </w:r>
      <w:r w:rsidRPr="00FD274F">
        <w:t xml:space="preserve"> contain declarations that certain instruments are not legislative instruments as follows:</w:t>
      </w:r>
      <w:bookmarkEnd w:id="23"/>
    </w:p>
    <w:p w14:paraId="616CE00F" w14:textId="77777777" w:rsidR="00E86304" w:rsidRPr="00317B28" w:rsidRDefault="00E86304" w:rsidP="00E86304">
      <w:pPr>
        <w:pStyle w:val="BodyPara"/>
      </w:pPr>
      <w:r w:rsidRPr="00FD274F">
        <w:t>specific declarations for instruments made u</w:t>
      </w:r>
      <w:r w:rsidRPr="00317B28">
        <w:t>nder a particular Act or provision of an Act (</w:t>
      </w:r>
      <w:hyperlink r:id="rId81" w:history="1">
        <w:r w:rsidRPr="00317B28">
          <w:rPr>
            <w:rStyle w:val="Hyperlink"/>
          </w:rPr>
          <w:t>LA</w:t>
        </w:r>
      </w:hyperlink>
      <w:r w:rsidRPr="00317B28">
        <w:t xml:space="preserve"> s 8(8) and </w:t>
      </w:r>
      <w:hyperlink r:id="rId82" w:history="1">
        <w:hyperlink r:id="rId83" w:history="1">
          <w:r w:rsidRPr="00317B28">
            <w:rPr>
              <w:rStyle w:val="Hyperlink"/>
            </w:rPr>
            <w:t>LEOMR</w:t>
          </w:r>
        </w:hyperlink>
      </w:hyperlink>
      <w:r w:rsidRPr="00317B28">
        <w:t xml:space="preserve"> s 7);</w:t>
      </w:r>
    </w:p>
    <w:p w14:paraId="28DC7F6F" w14:textId="77777777" w:rsidR="00E86304" w:rsidRPr="00FD274F" w:rsidRDefault="00E86304" w:rsidP="00E86304">
      <w:pPr>
        <w:pStyle w:val="BodyPara"/>
      </w:pPr>
      <w:r w:rsidRPr="00317B28">
        <w:t>generic declarations that apply to instrum</w:t>
      </w:r>
      <w:r w:rsidRPr="00FD274F">
        <w:t>ents made under a</w:t>
      </w:r>
      <w:r>
        <w:t>ny</w:t>
      </w:r>
      <w:r w:rsidRPr="00FD274F">
        <w:t xml:space="preserve"> Act unless the contrary intention appears (</w:t>
      </w:r>
      <w:hyperlink r:id="rId84" w:history="1">
        <w:hyperlink r:id="rId85" w:history="1">
          <w:r w:rsidRPr="00317B28">
            <w:rPr>
              <w:rStyle w:val="Hyperlink"/>
            </w:rPr>
            <w:t>LEOMR</w:t>
          </w:r>
        </w:hyperlink>
      </w:hyperlink>
      <w:r w:rsidRPr="00317B28">
        <w:t xml:space="preserve"> s 6).</w:t>
      </w:r>
    </w:p>
    <w:p w14:paraId="2E1192F4" w14:textId="77777777" w:rsidR="00E86304" w:rsidRPr="00FD274F" w:rsidRDefault="00E86304" w:rsidP="00E86304">
      <w:pPr>
        <w:pStyle w:val="BodyNum"/>
      </w:pPr>
      <w:bookmarkStart w:id="24" w:name="_Ref184283711"/>
      <w:r w:rsidRPr="00FD274F">
        <w:t xml:space="preserve">Please note, </w:t>
      </w:r>
      <w:hyperlink r:id="rId86" w:history="1">
        <w:hyperlink r:id="rId87" w:history="1">
          <w:r w:rsidRPr="00317B28">
            <w:rPr>
              <w:rStyle w:val="Hyperlink"/>
            </w:rPr>
            <w:t>LEOMR</w:t>
          </w:r>
        </w:hyperlink>
      </w:hyperlink>
      <w:r>
        <w:rPr>
          <w:rStyle w:val="Hyperlink"/>
        </w:rPr>
        <w:t xml:space="preserve"> </w:t>
      </w:r>
      <w:r w:rsidRPr="00FD274F">
        <w:t>does not apply if an Act (such as an instrument’s enabling Act) declares that an instrument is a legislative instrument. An instrument’s enabling Act should always be checked for declarations befo</w:t>
      </w:r>
      <w:r w:rsidRPr="00317B28">
        <w:t xml:space="preserve">re </w:t>
      </w:r>
      <w:hyperlink r:id="rId88" w:history="1">
        <w:hyperlink r:id="rId89" w:history="1">
          <w:r w:rsidRPr="00317B28">
            <w:rPr>
              <w:rStyle w:val="Hyperlink"/>
            </w:rPr>
            <w:t>LEOMR</w:t>
          </w:r>
        </w:hyperlink>
      </w:hyperlink>
      <w:r w:rsidRPr="00317B28">
        <w:t>, a</w:t>
      </w:r>
      <w:r w:rsidRPr="00FD274F">
        <w:t>nd lodging agencies are advised to take particular care when it comes to:</w:t>
      </w:r>
      <w:bookmarkEnd w:id="24"/>
    </w:p>
    <w:p w14:paraId="733F5502" w14:textId="77777777" w:rsidR="00E86304" w:rsidRPr="00317B28" w:rsidRDefault="00E86304" w:rsidP="00E86304">
      <w:pPr>
        <w:pStyle w:val="BodyPara"/>
      </w:pPr>
      <w:r w:rsidRPr="00FD274F">
        <w:t xml:space="preserve">instruments of delegation and directions to delegates </w:t>
      </w:r>
      <w:r w:rsidRPr="00317B28">
        <w:t>(</w:t>
      </w:r>
      <w:hyperlink r:id="rId90" w:history="1">
        <w:hyperlink r:id="rId91" w:history="1">
          <w:r w:rsidRPr="00317B28">
            <w:rPr>
              <w:rStyle w:val="Hyperlink"/>
            </w:rPr>
            <w:t>LEOMR</w:t>
          </w:r>
        </w:hyperlink>
      </w:hyperlink>
      <w:r w:rsidRPr="00317B28">
        <w:t xml:space="preserve"> s 6</w:t>
      </w:r>
      <w:r>
        <w:t>(1)</w:t>
      </w:r>
      <w:r w:rsidRPr="00317B28">
        <w:t xml:space="preserve"> items 1 and 2); and</w:t>
      </w:r>
    </w:p>
    <w:p w14:paraId="5FAD1AAC" w14:textId="77777777" w:rsidR="00E86304" w:rsidRPr="00FD274F" w:rsidRDefault="00E86304" w:rsidP="00E86304">
      <w:pPr>
        <w:pStyle w:val="BodyPara"/>
      </w:pPr>
      <w:r w:rsidRPr="00FD274F">
        <w:t>instruments of authorisation and approval (</w:t>
      </w:r>
      <w:hyperlink r:id="rId92" w:history="1">
        <w:hyperlink r:id="rId93" w:history="1">
          <w:r w:rsidRPr="00FD274F">
            <w:rPr>
              <w:rStyle w:val="Hyperlink"/>
            </w:rPr>
            <w:t>LEOMR</w:t>
          </w:r>
        </w:hyperlink>
      </w:hyperlink>
      <w:r w:rsidRPr="00FD274F">
        <w:t xml:space="preserve"> </w:t>
      </w:r>
      <w:r w:rsidRPr="00317B28">
        <w:t>s 6</w:t>
      </w:r>
      <w:r>
        <w:t>(1)</w:t>
      </w:r>
      <w:r w:rsidRPr="00317B28">
        <w:t xml:space="preserve"> items 4 and 5);</w:t>
      </w:r>
      <w:r>
        <w:t xml:space="preserve"> and</w:t>
      </w:r>
    </w:p>
    <w:p w14:paraId="0EE51686" w14:textId="77777777" w:rsidR="00E86304" w:rsidRPr="00FD274F" w:rsidRDefault="00E86304" w:rsidP="00E86304">
      <w:pPr>
        <w:pStyle w:val="BodyPara"/>
      </w:pPr>
      <w:r w:rsidRPr="00FD274F">
        <w:t>instruments prescribing or approving forms (</w:t>
      </w:r>
      <w:hyperlink r:id="rId94" w:history="1">
        <w:hyperlink r:id="rId95" w:history="1">
          <w:r w:rsidRPr="00317B28">
            <w:rPr>
              <w:rStyle w:val="Hyperlink"/>
            </w:rPr>
            <w:t>LEOMR</w:t>
          </w:r>
        </w:hyperlink>
      </w:hyperlink>
      <w:r w:rsidRPr="00317B28">
        <w:t xml:space="preserve"> s 6</w:t>
      </w:r>
      <w:r>
        <w:t>(1)</w:t>
      </w:r>
      <w:r w:rsidRPr="00317B28">
        <w:t xml:space="preserve"> item 6)</w:t>
      </w:r>
      <w:r w:rsidRPr="00FD274F">
        <w:t>.</w:t>
      </w:r>
    </w:p>
    <w:p w14:paraId="059DC496" w14:textId="77777777" w:rsidR="00E86304" w:rsidRPr="00FD274F" w:rsidRDefault="00E86304" w:rsidP="00E86304">
      <w:pPr>
        <w:pStyle w:val="BodyNum"/>
      </w:pPr>
      <w:bookmarkStart w:id="25" w:name="_Ref444606268"/>
      <w:r w:rsidRPr="00FD274F">
        <w:t>In the event that no declaration can be found in an Act o</w:t>
      </w:r>
      <w:r w:rsidRPr="00317B28">
        <w:t xml:space="preserve">r </w:t>
      </w:r>
      <w:hyperlink r:id="rId96" w:history="1">
        <w:hyperlink r:id="rId97" w:history="1">
          <w:r w:rsidRPr="00317B28">
            <w:rPr>
              <w:rStyle w:val="Hyperlink"/>
            </w:rPr>
            <w:t>LEOMR</w:t>
          </w:r>
        </w:hyperlink>
      </w:hyperlink>
      <w:r w:rsidRPr="00317B28">
        <w:t>,</w:t>
      </w:r>
      <w:r w:rsidRPr="00FD274F">
        <w:t xml:space="preserve"> the status of the instrument under the </w:t>
      </w:r>
      <w:hyperlink r:id="rId98" w:history="1">
        <w:r w:rsidRPr="006F45CA">
          <w:rPr>
            <w:rStyle w:val="Hyperlink"/>
          </w:rPr>
          <w:t>LA</w:t>
        </w:r>
      </w:hyperlink>
      <w:r w:rsidRPr="00FD274F">
        <w:t xml:space="preserve"> can only be established by looking closely at </w:t>
      </w:r>
      <w:bookmarkStart w:id="26" w:name="_Ref367446033"/>
      <w:r w:rsidRPr="00FD274F">
        <w:t xml:space="preserve">the individual instrument that has been or will be made and whether it is of legislative character. </w:t>
      </w:r>
      <w:bookmarkEnd w:id="26"/>
      <w:r w:rsidRPr="006F45CA">
        <w:t xml:space="preserve">Subsection 8(4) of the </w:t>
      </w:r>
      <w:hyperlink r:id="rId99" w:history="1">
        <w:r w:rsidRPr="006F45CA">
          <w:rPr>
            <w:rStyle w:val="Hyperlink"/>
          </w:rPr>
          <w:t>LA</w:t>
        </w:r>
      </w:hyperlink>
      <w:r w:rsidRPr="006F45CA">
        <w:t xml:space="preserve"> s</w:t>
      </w:r>
      <w:r w:rsidRPr="00FD274F">
        <w:t>pecifies that an instrument is a legislative instrument if:</w:t>
      </w:r>
      <w:bookmarkEnd w:id="25"/>
    </w:p>
    <w:p w14:paraId="108B60EC" w14:textId="77777777" w:rsidR="00E86304" w:rsidRPr="00FD274F" w:rsidRDefault="00E86304" w:rsidP="00E86304">
      <w:pPr>
        <w:pStyle w:val="BodyPara"/>
      </w:pPr>
      <w:r w:rsidRPr="00FD274F">
        <w:t>it is made under a power d</w:t>
      </w:r>
      <w:r>
        <w:t>elegated by the Parliament; and</w:t>
      </w:r>
    </w:p>
    <w:p w14:paraId="4E11FA93" w14:textId="77777777" w:rsidR="00E86304" w:rsidRPr="00FD274F" w:rsidRDefault="00E86304" w:rsidP="00E86304">
      <w:pPr>
        <w:pStyle w:val="BodyPara"/>
      </w:pPr>
      <w:r w:rsidRPr="00FD274F">
        <w:t>any provision of the instrument:</w:t>
      </w:r>
    </w:p>
    <w:p w14:paraId="22C6C620" w14:textId="77777777" w:rsidR="00E86304" w:rsidRPr="00FD274F" w:rsidRDefault="00E86304" w:rsidP="00E86304">
      <w:pPr>
        <w:pStyle w:val="BodySubPara"/>
      </w:pPr>
      <w:r w:rsidRPr="00FD274F">
        <w:t>determines the law or alters the content of the law, rather than whether or how it applies to particular cases or</w:t>
      </w:r>
      <w:r>
        <w:t xml:space="preserve"> circumstances; and</w:t>
      </w:r>
    </w:p>
    <w:p w14:paraId="3EAB829B" w14:textId="77777777" w:rsidR="00E86304" w:rsidRPr="00FD274F" w:rsidRDefault="00E86304" w:rsidP="00E86304">
      <w:pPr>
        <w:pStyle w:val="BodySubPara"/>
      </w:pPr>
      <w:r w:rsidRPr="00FD274F">
        <w:lastRenderedPageBreak/>
        <w:t>has the direct or indirect effect of affecting a privilege or interest, imposing an obligation, creating a right, or varying or removing an obligation or right.</w:t>
      </w:r>
    </w:p>
    <w:p w14:paraId="54BE4B00" w14:textId="77777777" w:rsidR="00E86304" w:rsidRPr="00FD274F" w:rsidRDefault="00E86304" w:rsidP="00E86304">
      <w:pPr>
        <w:pStyle w:val="BodyNum"/>
      </w:pPr>
      <w:r w:rsidRPr="00FD274F">
        <w:t>Even if an instrument is not a legislative instrument, it may still be useful to lodge it for registration as a notifiable instrument, especially if it is required to be published in the Gazette or elsewhere. Registering such an instrument as a notifiable instrument:</w:t>
      </w:r>
    </w:p>
    <w:p w14:paraId="23501EE9" w14:textId="77777777" w:rsidR="00E86304" w:rsidRPr="00FD274F" w:rsidRDefault="00E86304" w:rsidP="00E86304">
      <w:pPr>
        <w:pStyle w:val="BodyPara"/>
      </w:pPr>
      <w:r w:rsidRPr="00FD274F">
        <w:t>will generally satisfy any statutory requirement for the instrument to be gazetted or publis</w:t>
      </w:r>
      <w:r w:rsidRPr="00102718">
        <w:t xml:space="preserve">hed (see </w:t>
      </w:r>
      <w:hyperlink r:id="rId100" w:history="1">
        <w:r w:rsidRPr="00102718">
          <w:rPr>
            <w:rStyle w:val="Hyperlink"/>
          </w:rPr>
          <w:t>LA</w:t>
        </w:r>
      </w:hyperlink>
      <w:r w:rsidRPr="00102718">
        <w:t xml:space="preserve"> s 11(4)); a</w:t>
      </w:r>
      <w:r w:rsidRPr="00FD274F">
        <w:t>nd</w:t>
      </w:r>
    </w:p>
    <w:p w14:paraId="53BE974D" w14:textId="77777777" w:rsidR="00E86304" w:rsidRPr="00FD274F" w:rsidRDefault="00E86304" w:rsidP="00E86304">
      <w:pPr>
        <w:pStyle w:val="BodyPara"/>
      </w:pPr>
      <w:r w:rsidRPr="00FD274F">
        <w:t>is much cheaper than alternatives suc</w:t>
      </w:r>
      <w:r>
        <w:t>h as newspaper advertising; and</w:t>
      </w:r>
    </w:p>
    <w:p w14:paraId="51BF49D3" w14:textId="77777777" w:rsidR="00E86304" w:rsidRPr="00FD274F" w:rsidRDefault="00E86304" w:rsidP="00E86304">
      <w:pPr>
        <w:pStyle w:val="BodyPara"/>
      </w:pPr>
      <w:r w:rsidRPr="00FD274F">
        <w:t>ensures long</w:t>
      </w:r>
      <w:r>
        <w:noBreakHyphen/>
      </w:r>
      <w:r w:rsidRPr="00FD274F">
        <w:t>term access to your instrument (unlike agency websites where there is often pressure to archive older content and to change URLs for agency name changes and website redevelopment).</w:t>
      </w:r>
    </w:p>
    <w:p w14:paraId="32801039" w14:textId="77777777" w:rsidR="00E86304" w:rsidRPr="00FD274F" w:rsidRDefault="00E86304" w:rsidP="00E86304">
      <w:pPr>
        <w:pStyle w:val="BodyNum"/>
      </w:pPr>
      <w:r w:rsidRPr="00FD274F">
        <w:t xml:space="preserve">Unlike legislative instruments, notifiable instruments are not subject to tabling, disallowance or sunsetting. However, they can still be repealed in bulk by means of a regulation made under </w:t>
      </w:r>
      <w:r w:rsidRPr="00102718">
        <w:t xml:space="preserve">section 48E of the </w:t>
      </w:r>
      <w:hyperlink r:id="rId101" w:history="1">
        <w:r w:rsidRPr="00102718">
          <w:rPr>
            <w:rStyle w:val="Hyperlink"/>
          </w:rPr>
          <w:t>LA</w:t>
        </w:r>
      </w:hyperlink>
      <w:r w:rsidRPr="00102718">
        <w:t xml:space="preserve"> if</w:t>
      </w:r>
      <w:r w:rsidRPr="00FD274F">
        <w:t xml:space="preserve"> appropria</w:t>
      </w:r>
      <w:r w:rsidRPr="0009463D">
        <w:t xml:space="preserve">te (see paragraph </w:t>
      </w:r>
      <w:r>
        <w:fldChar w:fldCharType="begin"/>
      </w:r>
      <w:r>
        <w:instrText xml:space="preserve"> REF _Ref110331308 \r \h </w:instrText>
      </w:r>
      <w:r>
        <w:fldChar w:fldCharType="separate"/>
      </w:r>
      <w:r>
        <w:t>207</w:t>
      </w:r>
      <w:r>
        <w:fldChar w:fldCharType="end"/>
      </w:r>
      <w:r w:rsidRPr="00102718">
        <w:t>).</w:t>
      </w:r>
    </w:p>
    <w:p w14:paraId="75FB3C1C" w14:textId="77777777" w:rsidR="00E86304" w:rsidRPr="00FD274F" w:rsidRDefault="00E86304" w:rsidP="00E86304">
      <w:pPr>
        <w:pStyle w:val="Head3"/>
      </w:pPr>
      <w:bookmarkStart w:id="27" w:name="_Toc238117530"/>
      <w:r w:rsidRPr="00FD274F">
        <w:t>If there is uncertainty about the status of an instrument</w:t>
      </w:r>
      <w:bookmarkEnd w:id="27"/>
    </w:p>
    <w:p w14:paraId="423E0378" w14:textId="77777777" w:rsidR="00E86304" w:rsidRPr="00FD274F" w:rsidRDefault="00E86304" w:rsidP="00E86304">
      <w:pPr>
        <w:pStyle w:val="BodyNum"/>
      </w:pPr>
      <w:r w:rsidRPr="00FD274F">
        <w:t xml:space="preserve">It is important to identify instruments correctly: a legislative instrument is not enforceable by or against any person including the Commonwealth unless and until it is registered as a legislative instrument </w:t>
      </w:r>
      <w:r w:rsidRPr="00102718">
        <w:t>(</w:t>
      </w:r>
      <w:hyperlink r:id="rId102" w:history="1">
        <w:r w:rsidRPr="00102718">
          <w:rPr>
            <w:rStyle w:val="Hyperlink"/>
          </w:rPr>
          <w:t>LA</w:t>
        </w:r>
      </w:hyperlink>
      <w:r w:rsidRPr="00102718">
        <w:t xml:space="preserve"> s 15K(1)).</w:t>
      </w:r>
    </w:p>
    <w:p w14:paraId="6017F1D3" w14:textId="77777777" w:rsidR="00E86304" w:rsidRPr="00FD274F" w:rsidRDefault="00E86304" w:rsidP="00E86304">
      <w:pPr>
        <w:pStyle w:val="BodyNum"/>
      </w:pPr>
      <w:r w:rsidRPr="00FD274F">
        <w:t xml:space="preserve">Lodging agencies, not </w:t>
      </w:r>
      <w:proofErr w:type="spellStart"/>
      <w:r w:rsidRPr="00FD274F">
        <w:t>OPC</w:t>
      </w:r>
      <w:proofErr w:type="spellEnd"/>
      <w:r w:rsidRPr="00FD274F">
        <w:t xml:space="preserve">, are responsible for establishing the status of an instrument under the </w:t>
      </w:r>
      <w:hyperlink r:id="rId103" w:history="1">
        <w:r w:rsidRPr="00102718">
          <w:rPr>
            <w:rStyle w:val="Hyperlink"/>
          </w:rPr>
          <w:t>LA</w:t>
        </w:r>
      </w:hyperlink>
      <w:r w:rsidRPr="00102718">
        <w:t xml:space="preserve"> a</w:t>
      </w:r>
      <w:r w:rsidRPr="00FD274F">
        <w:t xml:space="preserve">nd for choosing the appropriate lodgement type at </w:t>
      </w:r>
      <w:r>
        <w:t xml:space="preserve">the </w:t>
      </w:r>
      <w:r w:rsidRPr="00FD274F">
        <w:t xml:space="preserve">time of lodgement. Under </w:t>
      </w:r>
      <w:r w:rsidRPr="00102718">
        <w:t xml:space="preserve">section 15H of the </w:t>
      </w:r>
      <w:hyperlink r:id="rId104" w:history="1">
        <w:r w:rsidRPr="00102718">
          <w:rPr>
            <w:rStyle w:val="Hyperlink"/>
          </w:rPr>
          <w:t>LA</w:t>
        </w:r>
      </w:hyperlink>
      <w:r w:rsidRPr="00102718">
        <w:t>, if an i</w:t>
      </w:r>
      <w:r w:rsidRPr="00FD274F">
        <w:t>nstrument is lodged for registration:</w:t>
      </w:r>
    </w:p>
    <w:p w14:paraId="11A526B0" w14:textId="77777777" w:rsidR="00E86304" w:rsidRPr="00FD274F" w:rsidRDefault="00E86304" w:rsidP="00E86304">
      <w:pPr>
        <w:pStyle w:val="BodyPara"/>
      </w:pPr>
      <w:r w:rsidRPr="00FD274F">
        <w:t xml:space="preserve">as a legislative instrument, it must be registered as a legislative instrument </w:t>
      </w:r>
      <w:r w:rsidRPr="00102718">
        <w:t>(</w:t>
      </w:r>
      <w:hyperlink r:id="rId105" w:history="1">
        <w:r w:rsidRPr="00102718">
          <w:rPr>
            <w:rStyle w:val="Hyperlink"/>
          </w:rPr>
          <w:t>LA</w:t>
        </w:r>
      </w:hyperlink>
      <w:r w:rsidRPr="00102718">
        <w:t xml:space="preserve"> s 15H(1)(a));</w:t>
      </w:r>
      <w:r>
        <w:t xml:space="preserve"> or</w:t>
      </w:r>
    </w:p>
    <w:p w14:paraId="07C9EB28" w14:textId="77777777" w:rsidR="00E86304" w:rsidRPr="00FD274F" w:rsidRDefault="00E86304" w:rsidP="00E86304">
      <w:pPr>
        <w:pStyle w:val="BodyPara"/>
      </w:pPr>
      <w:r w:rsidRPr="00FD274F">
        <w:t>as a notifiable instrument, it must be registered as a notifiable instrument (</w:t>
      </w:r>
      <w:hyperlink r:id="rId106" w:history="1">
        <w:r w:rsidRPr="00102718">
          <w:rPr>
            <w:rStyle w:val="Hyperlink"/>
          </w:rPr>
          <w:t>LA</w:t>
        </w:r>
      </w:hyperlink>
      <w:r w:rsidRPr="00102718">
        <w:rPr>
          <w:rStyle w:val="Hyperlink"/>
        </w:rPr>
        <w:t> </w:t>
      </w:r>
      <w:r w:rsidRPr="00102718">
        <w:t>s 15H(1)(b)).</w:t>
      </w:r>
    </w:p>
    <w:p w14:paraId="684F205D" w14:textId="77777777" w:rsidR="00E86304" w:rsidRPr="00FD274F" w:rsidRDefault="00E86304" w:rsidP="00E86304">
      <w:pPr>
        <w:pStyle w:val="Head4"/>
      </w:pPr>
      <w:r w:rsidRPr="00FD274F">
        <w:t>For new instruments</w:t>
      </w:r>
    </w:p>
    <w:p w14:paraId="3E9990E3" w14:textId="77777777" w:rsidR="00E86304" w:rsidRPr="00FD274F" w:rsidRDefault="00E86304" w:rsidP="00E86304">
      <w:pPr>
        <w:pStyle w:val="BodyNum"/>
      </w:pPr>
      <w:r w:rsidRPr="00FD274F">
        <w:t>If it is unclear whether a particular instrument is a legislative instrument, it would be prudent to get legal advice and consider the potential risks to government policy if the instrument is, or is not, registered as a legislative instrument. If there is a need to put the issue beyond doubt, there are two options to consider as follows:</w:t>
      </w:r>
    </w:p>
    <w:p w14:paraId="24582D08" w14:textId="77777777" w:rsidR="00E86304" w:rsidRPr="00FD274F" w:rsidRDefault="00E86304" w:rsidP="00E86304">
      <w:pPr>
        <w:pStyle w:val="BodyPara"/>
      </w:pPr>
      <w:r w:rsidRPr="00FD274F">
        <w:t>if the instrument does not need to be made urgently—there may be scope to include an express declaration in relevant legislation (gen</w:t>
      </w:r>
      <w:r w:rsidRPr="00317B28">
        <w:t xml:space="preserve">erally </w:t>
      </w:r>
      <w:hyperlink r:id="rId107" w:history="1">
        <w:proofErr w:type="spellStart"/>
        <w:r w:rsidRPr="00317B28">
          <w:rPr>
            <w:rStyle w:val="Hyperlink"/>
          </w:rPr>
          <w:t>LEOMR</w:t>
        </w:r>
        <w:proofErr w:type="spellEnd"/>
      </w:hyperlink>
      <w:r w:rsidRPr="00317B28">
        <w:t>);</w:t>
      </w:r>
    </w:p>
    <w:p w14:paraId="65C45A34" w14:textId="77777777" w:rsidR="00E86304" w:rsidRPr="00FD274F" w:rsidRDefault="00E86304" w:rsidP="00E86304">
      <w:pPr>
        <w:pStyle w:val="BodyPara"/>
      </w:pPr>
      <w:r w:rsidRPr="00FD274F">
        <w:t>if the instrument has already been made, or needs to be made urgently—it should be registered as</w:t>
      </w:r>
      <w:r>
        <w:t xml:space="preserve"> a legislative instrument.</w:t>
      </w:r>
    </w:p>
    <w:p w14:paraId="38C575FA" w14:textId="77777777" w:rsidR="00E86304" w:rsidRPr="00FD274F" w:rsidRDefault="00E86304" w:rsidP="00E86304">
      <w:pPr>
        <w:pStyle w:val="BodyNum"/>
      </w:pPr>
      <w:r w:rsidRPr="00FD274F">
        <w:lastRenderedPageBreak/>
        <w:t>Registering an instrument as a legislative instrument generally results in it, and an instrument that amends or repeals it, becoming a legislative instrumen</w:t>
      </w:r>
      <w:r w:rsidRPr="00102718">
        <w:t>t (</w:t>
      </w:r>
      <w:hyperlink r:id="rId108" w:history="1">
        <w:r w:rsidRPr="00102718">
          <w:rPr>
            <w:rStyle w:val="Hyperlink"/>
          </w:rPr>
          <w:t>LA</w:t>
        </w:r>
      </w:hyperlink>
      <w:r w:rsidRPr="00102718">
        <w:t xml:space="preserve"> s 10(</w:t>
      </w:r>
      <w:r>
        <w:t>1</w:t>
      </w:r>
      <w:r w:rsidRPr="00102718">
        <w:t>)(</w:t>
      </w:r>
      <w:r>
        <w:t>d</w:t>
      </w:r>
      <w:r w:rsidRPr="00102718">
        <w:t>)).</w:t>
      </w:r>
      <w:r w:rsidRPr="00FD274F">
        <w:t xml:space="preserve"> However, this principle </w:t>
      </w:r>
      <w:r>
        <w:t>(</w:t>
      </w:r>
      <w:r w:rsidRPr="00FD274F">
        <w:t>and associated disallowance and sunsetting regimes</w:t>
      </w:r>
      <w:r>
        <w:t>)</w:t>
      </w:r>
      <w:r w:rsidRPr="00FD274F">
        <w:t>, does not apply to a notifiable instrument that is:</w:t>
      </w:r>
    </w:p>
    <w:p w14:paraId="0A4BBFAE" w14:textId="77777777" w:rsidR="00E86304" w:rsidRPr="00FD274F" w:rsidRDefault="00E86304" w:rsidP="00E86304">
      <w:pPr>
        <w:pStyle w:val="BodyPara"/>
      </w:pPr>
      <w:r w:rsidRPr="00FD274F">
        <w:t>a commencement instrumen</w:t>
      </w:r>
      <w:r w:rsidRPr="00AB101B">
        <w:t>t (</w:t>
      </w:r>
      <w:hyperlink r:id="rId109" w:history="1">
        <w:r w:rsidRPr="00AB101B">
          <w:rPr>
            <w:rStyle w:val="Hyperlink"/>
          </w:rPr>
          <w:t>LA</w:t>
        </w:r>
      </w:hyperlink>
      <w:r w:rsidRPr="00AB101B">
        <w:t xml:space="preserve"> s 8(8)(b) and 11(2)); o</w:t>
      </w:r>
      <w:r w:rsidRPr="00FD274F">
        <w:t>r</w:t>
      </w:r>
    </w:p>
    <w:p w14:paraId="1705311B" w14:textId="77777777" w:rsidR="00E86304" w:rsidRPr="00AB101B" w:rsidRDefault="00E86304" w:rsidP="00E86304">
      <w:pPr>
        <w:pStyle w:val="BodyPara"/>
      </w:pPr>
      <w:r w:rsidRPr="00FD274F">
        <w:t xml:space="preserve">declared to be a notifiable instrument by its enabling legislation </w:t>
      </w:r>
      <w:r w:rsidRPr="00AB101B">
        <w:t>(</w:t>
      </w:r>
      <w:hyperlink r:id="rId110" w:history="1">
        <w:r w:rsidRPr="00AB101B">
          <w:rPr>
            <w:rStyle w:val="Hyperlink"/>
          </w:rPr>
          <w:t>LA</w:t>
        </w:r>
      </w:hyperlink>
      <w:r w:rsidRPr="00AB101B">
        <w:t xml:space="preserve"> s 8(8)(a) and 11(1)).</w:t>
      </w:r>
    </w:p>
    <w:p w14:paraId="3D39A9CE" w14:textId="77777777" w:rsidR="00E86304" w:rsidRDefault="00E86304" w:rsidP="00E86304">
      <w:pPr>
        <w:pStyle w:val="noteToPara"/>
        <w:ind w:left="1429"/>
      </w:pPr>
      <w:r w:rsidRPr="00FD274F">
        <w:t xml:space="preserve">Note: </w:t>
      </w:r>
      <w:r w:rsidRPr="00FD274F">
        <w:tab/>
      </w:r>
      <w:r>
        <w:t xml:space="preserve">Unlike instruments that are notifiable instruments because of paragraph 8(8)(a) of the </w:t>
      </w:r>
      <w:hyperlink r:id="rId111" w:history="1">
        <w:r w:rsidRPr="00AB101B">
          <w:rPr>
            <w:rStyle w:val="Hyperlink"/>
          </w:rPr>
          <w:t>LA</w:t>
        </w:r>
      </w:hyperlink>
      <w:r>
        <w:t xml:space="preserve">, instruments that are notifiable instruments under section 8 of </w:t>
      </w:r>
      <w:hyperlink r:id="rId112" w:history="1">
        <w:hyperlink r:id="rId113" w:history="1">
          <w:r w:rsidRPr="00F409B4">
            <w:rPr>
              <w:rStyle w:val="Hyperlink"/>
            </w:rPr>
            <w:t>LEOMR</w:t>
          </w:r>
        </w:hyperlink>
      </w:hyperlink>
      <w:r>
        <w:t xml:space="preserve"> can be registered as, and become, legislative instruments.</w:t>
      </w:r>
    </w:p>
    <w:p w14:paraId="68342B3C" w14:textId="77777777" w:rsidR="00E86304" w:rsidRPr="00FD274F" w:rsidRDefault="00E86304" w:rsidP="00E86304">
      <w:pPr>
        <w:pStyle w:val="BodyNum"/>
      </w:pPr>
      <w:r w:rsidRPr="00FD274F">
        <w:t xml:space="preserve">An express declaration that an instrument is not a legislative instrument can be inserted </w:t>
      </w:r>
      <w:r w:rsidRPr="00F409B4">
        <w:t xml:space="preserve">into </w:t>
      </w:r>
      <w:hyperlink r:id="rId114" w:history="1">
        <w:hyperlink r:id="rId115" w:history="1">
          <w:r w:rsidRPr="00F409B4">
            <w:rPr>
              <w:rStyle w:val="Hyperlink"/>
            </w:rPr>
            <w:t>LEOMR</w:t>
          </w:r>
        </w:hyperlink>
      </w:hyperlink>
      <w:r w:rsidRPr="00FD274F">
        <w:t xml:space="preserve"> or an instrument’s enabling legislation, but exceptional policy reasons will be required for a type of instrument that is likely to be of legislative character (</w:t>
      </w:r>
      <w:r w:rsidRPr="0009463D">
        <w:t xml:space="preserve">see paragraph </w:t>
      </w:r>
      <w:r w:rsidRPr="00C856F3">
        <w:fldChar w:fldCharType="begin"/>
      </w:r>
      <w:r w:rsidRPr="0009463D">
        <w:instrText xml:space="preserve"> REF _Ref444606268 \r \h  \* MERGEFORMAT </w:instrText>
      </w:r>
      <w:r w:rsidRPr="00C856F3">
        <w:fldChar w:fldCharType="separate"/>
      </w:r>
      <w:r>
        <w:t>37</w:t>
      </w:r>
      <w:r w:rsidRPr="00C856F3">
        <w:fldChar w:fldCharType="end"/>
      </w:r>
      <w:r w:rsidRPr="0009463D">
        <w:t>).</w:t>
      </w:r>
      <w:r w:rsidRPr="00FD274F">
        <w:t xml:space="preserve"> Before making or instructing </w:t>
      </w:r>
      <w:proofErr w:type="spellStart"/>
      <w:r w:rsidRPr="00FD274F">
        <w:t>OPC</w:t>
      </w:r>
      <w:proofErr w:type="spellEnd"/>
      <w:r w:rsidRPr="00FD274F">
        <w:t xml:space="preserve"> to draft an exemption, please consult </w:t>
      </w:r>
      <w:r w:rsidRPr="00F409B4">
        <w:t>AGD (</w:t>
      </w:r>
      <w:r>
        <w:t xml:space="preserve">email </w:t>
      </w:r>
      <w:hyperlink r:id="rId116" w:history="1">
        <w:r w:rsidRPr="00C24A30">
          <w:rPr>
            <w:rStyle w:val="Hyperlink"/>
          </w:rPr>
          <w:t>adminlaw@ag.gov.au</w:t>
        </w:r>
      </w:hyperlink>
      <w:r w:rsidRPr="00FD274F">
        <w:rPr>
          <w:rStyle w:val="Hyperlink"/>
        </w:rPr>
        <w:t xml:space="preserve"> </w:t>
      </w:r>
      <w:r w:rsidRPr="00FD274F">
        <w:t xml:space="preserve">or </w:t>
      </w:r>
      <w:r>
        <w:t xml:space="preserve">call the AGD Switchboard on </w:t>
      </w:r>
      <w:r w:rsidRPr="00E277CA">
        <w:t>(02) 6141 6666</w:t>
      </w:r>
      <w:r>
        <w:t xml:space="preserve"> and ask to be redirected to the Administrative Law Section</w:t>
      </w:r>
      <w:r w:rsidRPr="00F409B4">
        <w:t>).</w:t>
      </w:r>
      <w:r w:rsidRPr="00FD274F">
        <w:t xml:space="preserve"> The formal policy approval of the responsible Minister and the Attorney</w:t>
      </w:r>
      <w:r>
        <w:noBreakHyphen/>
      </w:r>
      <w:r w:rsidRPr="00FD274F">
        <w:t>General is required for such a declaration.</w:t>
      </w:r>
    </w:p>
    <w:p w14:paraId="346B901D" w14:textId="77777777" w:rsidR="00E86304" w:rsidRPr="00FD274F" w:rsidRDefault="00E86304" w:rsidP="00E86304">
      <w:pPr>
        <w:pStyle w:val="Head4"/>
      </w:pPr>
      <w:r w:rsidRPr="00FD274F">
        <w:t>For older instruments</w:t>
      </w:r>
    </w:p>
    <w:p w14:paraId="1D8470EB" w14:textId="77777777" w:rsidR="00E86304" w:rsidRPr="00FD274F" w:rsidRDefault="00E86304" w:rsidP="00E86304">
      <w:pPr>
        <w:pStyle w:val="BodyNum"/>
      </w:pPr>
      <w:r w:rsidRPr="00FD274F">
        <w:t xml:space="preserve">Instruments that would be notifiable instruments if they were made on or after 5 March 2016 are not required to be lodged for registration. However, they can be registered if the First Parliamentary Counsel agrees that this is likely to be useful to users of the Register </w:t>
      </w:r>
      <w:r>
        <w:t>(</w:t>
      </w:r>
      <w:r w:rsidRPr="00FD274F">
        <w:t>for example, because instruments of ongoing or historic interest would cease to be available online as a result of m</w:t>
      </w:r>
      <w:r>
        <w:t>achinery of government changes).</w:t>
      </w:r>
    </w:p>
    <w:p w14:paraId="7CECACAD" w14:textId="77777777" w:rsidR="00E86304" w:rsidRPr="00FD274F" w:rsidRDefault="00E86304" w:rsidP="00E86304">
      <w:pPr>
        <w:pStyle w:val="BodyNum"/>
      </w:pPr>
      <w:r w:rsidRPr="00FD274F">
        <w:t>Legislative instruments made before 1 January 2005 were, however, required to be lodged by certain deadlines that have now passed. Any legislative instruments not lodged by the relevant deadline were, in almost all cases, repealed by the operation of s</w:t>
      </w:r>
      <w:r w:rsidRPr="00F409B4">
        <w:t xml:space="preserve">ection 32 of the </w:t>
      </w:r>
      <w:hyperlink r:id="rId117" w:history="1">
        <w:r w:rsidRPr="00F409B4">
          <w:rPr>
            <w:rStyle w:val="Hyperlink"/>
          </w:rPr>
          <w:t>LA</w:t>
        </w:r>
      </w:hyperlink>
      <w:r w:rsidRPr="00FD274F">
        <w:rPr>
          <w:rStyle w:val="Hyperlink"/>
        </w:rPr>
        <w:t xml:space="preserve"> </w:t>
      </w:r>
      <w:r w:rsidRPr="00FD274F">
        <w:t>when it was known as th</w:t>
      </w:r>
      <w:r w:rsidRPr="00F409B4">
        <w:t>e LIA.</w:t>
      </w:r>
      <w:r w:rsidRPr="00FD274F">
        <w:t xml:space="preserve"> That section has since been repealed, but its repeal does not affect:</w:t>
      </w:r>
    </w:p>
    <w:p w14:paraId="1EA969BA" w14:textId="77777777" w:rsidR="00E86304" w:rsidRPr="00FD274F" w:rsidRDefault="00E86304" w:rsidP="00E86304">
      <w:pPr>
        <w:pStyle w:val="BodyPara"/>
      </w:pPr>
      <w:r w:rsidRPr="00FD274F">
        <w:t>the operation of a handful of older legislative instruments lodged later and registered under subsecti</w:t>
      </w:r>
      <w:r w:rsidRPr="00F409B4">
        <w:t>ons 32(3) and 32(4) of the LIA;</w:t>
      </w:r>
      <w:r>
        <w:t xml:space="preserve"> and</w:t>
      </w:r>
    </w:p>
    <w:p w14:paraId="6449C83B" w14:textId="77777777" w:rsidR="00E86304" w:rsidRPr="00FD274F" w:rsidRDefault="00E86304" w:rsidP="00E86304">
      <w:pPr>
        <w:pStyle w:val="BodyPara"/>
      </w:pPr>
      <w:r w:rsidRPr="00FD274F">
        <w:t>the repeal of all other legislative instruments not lodged as required.</w:t>
      </w:r>
    </w:p>
    <w:p w14:paraId="7D935A18" w14:textId="77777777" w:rsidR="00E86304" w:rsidRPr="00FD274F" w:rsidRDefault="00E86304" w:rsidP="00E86304">
      <w:pPr>
        <w:pStyle w:val="Head3"/>
      </w:pPr>
      <w:bookmarkStart w:id="28" w:name="_Toc238117531"/>
      <w:r w:rsidRPr="00FD274F">
        <w:t>What is the Federal Register of Legislation?</w:t>
      </w:r>
      <w:bookmarkEnd w:id="28"/>
    </w:p>
    <w:p w14:paraId="18F442AF" w14:textId="77777777" w:rsidR="00E86304" w:rsidRPr="00FD274F" w:rsidRDefault="00E86304" w:rsidP="00E86304">
      <w:pPr>
        <w:pStyle w:val="BodyNum"/>
      </w:pPr>
      <w:r w:rsidRPr="00FD274F">
        <w:t>The Federal Register of Legislation is the authorised whole</w:t>
      </w:r>
      <w:r>
        <w:noBreakHyphen/>
      </w:r>
      <w:r w:rsidRPr="00FD274F">
        <w:t>of</w:t>
      </w:r>
      <w:r>
        <w:noBreakHyphen/>
      </w:r>
      <w:r w:rsidRPr="00FD274F">
        <w:t xml:space="preserve">government website for Commonwealth legislation and related documents. The Register contains the full text of laws, as well as details of the lifecycle of individual laws and the relationships between them. It is managed by </w:t>
      </w:r>
      <w:proofErr w:type="spellStart"/>
      <w:r w:rsidRPr="00FD274F">
        <w:t>OPC</w:t>
      </w:r>
      <w:proofErr w:type="spellEnd"/>
      <w:r w:rsidRPr="00FD274F">
        <w:t xml:space="preserve"> in accordance w</w:t>
      </w:r>
      <w:r w:rsidRPr="00C856F3">
        <w:t xml:space="preserve">ith section 15A of the </w:t>
      </w:r>
      <w:hyperlink r:id="rId118" w:history="1">
        <w:r w:rsidRPr="00C856F3">
          <w:rPr>
            <w:rStyle w:val="Hyperlink"/>
          </w:rPr>
          <w:t>LA</w:t>
        </w:r>
      </w:hyperlink>
      <w:r w:rsidRPr="00C856F3">
        <w:rPr>
          <w:rStyle w:val="Hyperlink"/>
        </w:rPr>
        <w:t xml:space="preserve">, </w:t>
      </w:r>
      <w:r w:rsidRPr="00C856F3">
        <w:t>a</w:t>
      </w:r>
      <w:r w:rsidRPr="00FD274F">
        <w:t>nd it includes:</w:t>
      </w:r>
    </w:p>
    <w:p w14:paraId="6DAEDFB4" w14:textId="77777777" w:rsidR="00E86304" w:rsidRDefault="00E86304" w:rsidP="00E86304">
      <w:pPr>
        <w:pStyle w:val="BodyPara"/>
      </w:pPr>
      <w:r w:rsidRPr="00FD274F">
        <w:t>all Acts as made since 1901; and</w:t>
      </w:r>
    </w:p>
    <w:p w14:paraId="68C8FC11" w14:textId="77777777" w:rsidR="00E86304" w:rsidRDefault="00E86304" w:rsidP="00E86304">
      <w:pPr>
        <w:pStyle w:val="BodyPara"/>
      </w:pPr>
      <w:r>
        <w:t>all Statutory Rules as made from 1904 to 2004; and</w:t>
      </w:r>
    </w:p>
    <w:p w14:paraId="017B05CD" w14:textId="77777777" w:rsidR="00E86304" w:rsidRPr="00FD274F" w:rsidRDefault="00E86304" w:rsidP="00E86304">
      <w:pPr>
        <w:pStyle w:val="BodyPara"/>
      </w:pPr>
      <w:r w:rsidRPr="00FD274F">
        <w:lastRenderedPageBreak/>
        <w:t>all legislative instruments made on or from 1 January 2005, including all older instruments in force on 1 January 200</w:t>
      </w:r>
      <w:r>
        <w:t>5</w:t>
      </w:r>
      <w:r w:rsidRPr="00FD274F">
        <w:t>, and associated explanatory statements; and</w:t>
      </w:r>
    </w:p>
    <w:p w14:paraId="679A32FB" w14:textId="77777777" w:rsidR="00E86304" w:rsidRPr="00FD274F" w:rsidRDefault="00E86304" w:rsidP="00E86304">
      <w:pPr>
        <w:pStyle w:val="BodyPara"/>
      </w:pPr>
      <w:r w:rsidRPr="00FD274F">
        <w:t>all notifiable instruments as made from 5 March 2016; and</w:t>
      </w:r>
    </w:p>
    <w:p w14:paraId="21A2B927" w14:textId="77777777" w:rsidR="00E86304" w:rsidRPr="00FD274F" w:rsidRDefault="00E86304" w:rsidP="00E86304">
      <w:pPr>
        <w:pStyle w:val="BodyPara"/>
      </w:pPr>
      <w:r w:rsidRPr="00FD274F">
        <w:t xml:space="preserve">compilations showing the text of Acts and </w:t>
      </w:r>
      <w:r>
        <w:t>instruments as amended; and</w:t>
      </w:r>
    </w:p>
    <w:p w14:paraId="7AA5D6AB" w14:textId="77777777" w:rsidR="00E86304" w:rsidRPr="00FD274F" w:rsidRDefault="00E86304" w:rsidP="00E86304">
      <w:pPr>
        <w:pStyle w:val="BodyPara"/>
      </w:pPr>
      <w:r w:rsidRPr="00FD274F">
        <w:t>related documents such as Gazette notices.</w:t>
      </w:r>
    </w:p>
    <w:p w14:paraId="47296597" w14:textId="77777777" w:rsidR="00E86304" w:rsidRDefault="00E86304" w:rsidP="00E86304">
      <w:pPr>
        <w:pStyle w:val="BodyNum"/>
      </w:pPr>
      <w:r>
        <w:t>The Register does not have a complete collection of all Bills and explanatory material. On the Register, you will find:</w:t>
      </w:r>
    </w:p>
    <w:p w14:paraId="1A2B3B48" w14:textId="77777777" w:rsidR="00E86304" w:rsidRDefault="00E86304" w:rsidP="00E86304">
      <w:pPr>
        <w:pStyle w:val="BodyPara"/>
      </w:pPr>
      <w:r>
        <w:t xml:space="preserve">for some older Acts, </w:t>
      </w:r>
      <w:r w:rsidRPr="000624BF">
        <w:t xml:space="preserve">a link to a page with a copy of the Bill as first introduced and the initial </w:t>
      </w:r>
      <w:r>
        <w:t>explanatory memorandum (EM)</w:t>
      </w:r>
      <w:r w:rsidRPr="000624BF">
        <w:t xml:space="preserve"> on the Register</w:t>
      </w:r>
      <w:r w:rsidRPr="00FD274F">
        <w:t>; and</w:t>
      </w:r>
    </w:p>
    <w:p w14:paraId="078E0271" w14:textId="77777777" w:rsidR="00E86304" w:rsidRDefault="00E86304" w:rsidP="00E86304">
      <w:pPr>
        <w:pStyle w:val="BodyPara"/>
      </w:pPr>
      <w:r>
        <w:t>f</w:t>
      </w:r>
      <w:r w:rsidRPr="000624BF">
        <w:t xml:space="preserve">or </w:t>
      </w:r>
      <w:r>
        <w:t xml:space="preserve">more recent </w:t>
      </w:r>
      <w:r w:rsidRPr="000624BF">
        <w:t>Acts</w:t>
      </w:r>
      <w:r>
        <w:t>,</w:t>
      </w:r>
      <w:r w:rsidRPr="000624BF">
        <w:t xml:space="preserve"> a link to the </w:t>
      </w:r>
      <w:r>
        <w:t xml:space="preserve">Australian Parliament House (APH) </w:t>
      </w:r>
      <w:r w:rsidRPr="000624BF">
        <w:t xml:space="preserve">website Bills page, with a full history of the Bill, at the bottom of the </w:t>
      </w:r>
      <w:r>
        <w:t>A</w:t>
      </w:r>
      <w:r w:rsidRPr="000624BF">
        <w:t>ll versions page for each Act</w:t>
      </w:r>
      <w:r>
        <w:t>.</w:t>
      </w:r>
    </w:p>
    <w:p w14:paraId="6E004EE3" w14:textId="77777777" w:rsidR="00E86304" w:rsidRDefault="00E86304" w:rsidP="00E86304">
      <w:pPr>
        <w:pStyle w:val="BodyNum"/>
      </w:pPr>
      <w:r>
        <w:t>The APH website</w:t>
      </w:r>
      <w:r w:rsidRPr="00C97A6C">
        <w:rPr>
          <w:rStyle w:val="FootnoteReference"/>
          <w:spacing w:val="-2"/>
        </w:rPr>
        <w:footnoteReference w:id="6"/>
      </w:r>
      <w:r>
        <w:t xml:space="preserve"> is the authoritative source for Bills, EMs and associated documents and includes information about their passage through Parliament. Historic Bills and EMs (pre-1997) can be found through APH’s </w:t>
      </w:r>
      <w:proofErr w:type="spellStart"/>
      <w:r>
        <w:t>Parlinfo</w:t>
      </w:r>
      <w:proofErr w:type="spellEnd"/>
      <w:r>
        <w:t xml:space="preserve"> database</w:t>
      </w:r>
      <w:r w:rsidRPr="00C97A6C">
        <w:rPr>
          <w:rStyle w:val="FootnoteReference"/>
          <w:spacing w:val="-2"/>
        </w:rPr>
        <w:footnoteReference w:id="7"/>
      </w:r>
      <w:r>
        <w:t>.</w:t>
      </w:r>
    </w:p>
    <w:p w14:paraId="1CDF5041" w14:textId="77777777" w:rsidR="00E86304" w:rsidRDefault="00E86304" w:rsidP="00E86304">
      <w:pPr>
        <w:pStyle w:val="BodyNum"/>
      </w:pPr>
      <w:r>
        <w:t>For Acts and instruments, t</w:t>
      </w:r>
      <w:r w:rsidRPr="00FD274F">
        <w:t xml:space="preserve">he authorised version of a document that has been registered is always in a PDF format and is always stamped with the document’s unique identifier and a prescribed form of words such as “Authorised version” or “Authoritative” </w:t>
      </w:r>
      <w:r w:rsidRPr="00F409B4">
        <w:t>(for a complete list, see</w:t>
      </w:r>
      <w:r>
        <w:t xml:space="preserve"> </w:t>
      </w:r>
      <w:hyperlink r:id="rId119" w:history="1">
        <w:r w:rsidRPr="00001937">
          <w:rPr>
            <w:rStyle w:val="Hyperlink"/>
          </w:rPr>
          <w:t>LR</w:t>
        </w:r>
      </w:hyperlink>
      <w:r>
        <w:t xml:space="preserve"> </w:t>
      </w:r>
      <w:r w:rsidRPr="00F409B4">
        <w:t xml:space="preserve">s </w:t>
      </w:r>
      <w:r>
        <w:t>18</w:t>
      </w:r>
      <w:r w:rsidRPr="00F409B4">
        <w:t>).</w:t>
      </w:r>
    </w:p>
    <w:p w14:paraId="3E1695C5" w14:textId="77777777" w:rsidR="00E86304" w:rsidRPr="004175CE" w:rsidRDefault="00E86304" w:rsidP="00E86304">
      <w:pPr>
        <w:pStyle w:val="BodyNum"/>
        <w:sectPr w:rsidR="00E86304" w:rsidRPr="004175CE" w:rsidSect="00E86304">
          <w:headerReference w:type="default" r:id="rId120"/>
          <w:footerReference w:type="default" r:id="rId121"/>
          <w:pgSz w:w="11907" w:h="16839" w:code="9"/>
          <w:pgMar w:top="1440" w:right="1440" w:bottom="1418" w:left="1440" w:header="720" w:footer="720" w:gutter="0"/>
          <w:cols w:sep="1" w:space="567"/>
          <w:docGrid w:linePitch="360"/>
        </w:sectPr>
      </w:pPr>
      <w:r w:rsidRPr="00FD274F">
        <w:t xml:space="preserve">For information on how and when to lodge instruments and related documents for registration, see </w:t>
      </w:r>
      <w:hyperlink w:anchor="Chapter4" w:history="1">
        <w:r w:rsidRPr="00041A27">
          <w:rPr>
            <w:rStyle w:val="Hyperlink"/>
          </w:rPr>
          <w:t>Chapter 4</w:t>
        </w:r>
      </w:hyperlink>
      <w:r w:rsidRPr="00FD274F">
        <w:t>.</w:t>
      </w:r>
      <w:bookmarkStart w:id="29" w:name="Chapter3"/>
    </w:p>
    <w:p w14:paraId="037C7D56" w14:textId="77777777" w:rsidR="00E86304" w:rsidRPr="00FD274F" w:rsidRDefault="00E86304" w:rsidP="00E86304">
      <w:pPr>
        <w:pStyle w:val="Head2"/>
        <w:rPr>
          <w:rFonts w:cs="Arial"/>
          <w:sz w:val="32"/>
        </w:rPr>
      </w:pPr>
      <w:bookmarkStart w:id="30" w:name="_Toc238117532"/>
      <w:r w:rsidRPr="00FD274F">
        <w:rPr>
          <w:rFonts w:cs="Arial"/>
          <w:sz w:val="32"/>
        </w:rPr>
        <w:lastRenderedPageBreak/>
        <w:t>Chapter 3—Drafting and interpretation of instruments</w:t>
      </w:r>
      <w:bookmarkEnd w:id="30"/>
    </w:p>
    <w:bookmarkEnd w:id="29"/>
    <w:p w14:paraId="59E10CC1" w14:textId="77777777" w:rsidR="00E86304" w:rsidRPr="00FD274F" w:rsidRDefault="00E86304" w:rsidP="00E86304">
      <w:pPr>
        <w:pStyle w:val="SundryBoxHeadBold"/>
      </w:pPr>
      <w:r w:rsidRPr="00FD274F">
        <w:t>Main points</w:t>
      </w:r>
    </w:p>
    <w:p w14:paraId="29B33104" w14:textId="77777777" w:rsidR="00E86304" w:rsidRPr="00FD274F" w:rsidRDefault="00E86304" w:rsidP="00E86304">
      <w:pPr>
        <w:pStyle w:val="SundryBoxBullet"/>
      </w:pPr>
      <w:r w:rsidRPr="00FD274F">
        <w:t>•</w:t>
      </w:r>
      <w:r w:rsidRPr="00FD274F">
        <w:tab/>
      </w:r>
      <w:proofErr w:type="spellStart"/>
      <w:r w:rsidRPr="00FD274F">
        <w:t>OPC</w:t>
      </w:r>
      <w:proofErr w:type="spellEnd"/>
      <w:r w:rsidRPr="00FD274F">
        <w:t xml:space="preserve"> is required to draft certain instruments, is available to assist with other drafting matters, and publishes detailed guidance on a range of drafting issues.</w:t>
      </w:r>
    </w:p>
    <w:p w14:paraId="5A6C2551" w14:textId="77777777" w:rsidR="00E86304" w:rsidRPr="00FD274F" w:rsidRDefault="00E86304" w:rsidP="00E86304">
      <w:pPr>
        <w:pStyle w:val="SundryBoxBullet"/>
      </w:pPr>
      <w:r w:rsidRPr="00FD274F">
        <w:t>•</w:t>
      </w:r>
      <w:r w:rsidRPr="00FD274F">
        <w:tab/>
        <w:t>In reading or drafting a legislative instrument, it is important to have regard to any special provisions in the enabling legislation that may apply in addition to, or instead of, the default rules provided b</w:t>
      </w:r>
      <w:r w:rsidRPr="00C856F3">
        <w:t xml:space="preserve">y the </w:t>
      </w:r>
      <w:hyperlink r:id="rId122" w:history="1">
        <w:r w:rsidRPr="00C856F3">
          <w:rPr>
            <w:rStyle w:val="Hyperlink"/>
          </w:rPr>
          <w:t>LA</w:t>
        </w:r>
      </w:hyperlink>
      <w:r w:rsidRPr="00C856F3">
        <w:rPr>
          <w:rStyle w:val="Hyperlink"/>
        </w:rPr>
        <w:t xml:space="preserve"> </w:t>
      </w:r>
      <w:r w:rsidRPr="00C856F3">
        <w:t>o</w:t>
      </w:r>
      <w:r w:rsidRPr="00FD274F">
        <w:t>n issues such as commencement, incorporation of documents by reference, and use of gender</w:t>
      </w:r>
      <w:r>
        <w:noBreakHyphen/>
      </w:r>
      <w:r w:rsidRPr="00FD274F">
        <w:t>specific language.</w:t>
      </w:r>
    </w:p>
    <w:p w14:paraId="01E07D7B" w14:textId="77777777" w:rsidR="00E86304" w:rsidRPr="00FD274F" w:rsidRDefault="00E86304" w:rsidP="00E86304">
      <w:pPr>
        <w:pStyle w:val="SundryBoxBullet"/>
      </w:pPr>
      <w:r w:rsidRPr="00FD274F">
        <w:t>•</w:t>
      </w:r>
      <w:r w:rsidRPr="00FD274F">
        <w:tab/>
        <w:t xml:space="preserve">Lack of attention to the default </w:t>
      </w:r>
      <w:hyperlink r:id="rId123" w:history="1">
        <w:r w:rsidRPr="00C856F3">
          <w:rPr>
            <w:rStyle w:val="Hyperlink"/>
          </w:rPr>
          <w:t>LA</w:t>
        </w:r>
      </w:hyperlink>
      <w:r w:rsidRPr="00FD274F">
        <w:rPr>
          <w:rStyle w:val="Hyperlink"/>
        </w:rPr>
        <w:t xml:space="preserve"> </w:t>
      </w:r>
      <w:r w:rsidRPr="00FD274F">
        <w:t>rules can have significant legal and other consequences.</w:t>
      </w:r>
    </w:p>
    <w:p w14:paraId="1C3A7E20" w14:textId="77777777" w:rsidR="00E86304" w:rsidRPr="00FD274F" w:rsidRDefault="00E86304" w:rsidP="00E86304">
      <w:pPr>
        <w:pStyle w:val="SundryBoxBullet"/>
      </w:pPr>
      <w:r w:rsidRPr="00FD274F">
        <w:t>•</w:t>
      </w:r>
      <w:r w:rsidRPr="00FD274F">
        <w:tab/>
        <w:t>Attention to formatting issues is also important to ensure that registered documents meet government accessibility requirements and read as intended.</w:t>
      </w:r>
    </w:p>
    <w:p w14:paraId="0B054C13" w14:textId="77777777" w:rsidR="00E86304" w:rsidRPr="00FD274F" w:rsidRDefault="00E86304" w:rsidP="00E86304">
      <w:pPr>
        <w:pStyle w:val="Head3"/>
      </w:pPr>
      <w:bookmarkStart w:id="31" w:name="_Toc238117533"/>
      <w:r w:rsidRPr="00FD274F">
        <w:t>Drafting of legislative instruments</w:t>
      </w:r>
      <w:bookmarkEnd w:id="31"/>
    </w:p>
    <w:p w14:paraId="65443317" w14:textId="77777777" w:rsidR="00E86304" w:rsidRPr="00FD274F" w:rsidRDefault="00E86304" w:rsidP="00E86304">
      <w:pPr>
        <w:pStyle w:val="BodyNum"/>
      </w:pPr>
      <w:bookmarkStart w:id="32" w:name="_Ref386114686"/>
      <w:r w:rsidRPr="00FD274F">
        <w:t>Under the</w:t>
      </w:r>
      <w:r>
        <w:t xml:space="preserve"> </w:t>
      </w:r>
      <w:hyperlink r:id="rId124" w:history="1">
        <w:r w:rsidRPr="00B40FDA">
          <w:rPr>
            <w:rStyle w:val="Hyperlink"/>
            <w:i/>
          </w:rPr>
          <w:t>Legal Services Directions 2025</w:t>
        </w:r>
      </w:hyperlink>
      <w:r w:rsidRPr="00B40FDA">
        <w:t>,</w:t>
      </w:r>
      <w:r w:rsidRPr="00C97A6C">
        <w:t xml:space="preserve"> c</w:t>
      </w:r>
      <w:r w:rsidRPr="00FD274F">
        <w:t xml:space="preserve">ertain drafting work is tied to </w:t>
      </w:r>
      <w:proofErr w:type="spellStart"/>
      <w:r w:rsidRPr="00FD274F">
        <w:t>OPC</w:t>
      </w:r>
      <w:proofErr w:type="spellEnd"/>
      <w:r w:rsidRPr="00FD274F">
        <w:t xml:space="preserve">. Agencies must use </w:t>
      </w:r>
      <w:proofErr w:type="spellStart"/>
      <w:r w:rsidRPr="00FD274F">
        <w:t>OPC’s</w:t>
      </w:r>
      <w:proofErr w:type="spellEnd"/>
      <w:r w:rsidRPr="00FD274F">
        <w:t xml:space="preserve"> drafting services to prepare new or amending regulations, Ordinances and regulations of certain Territories, and any other legislative instruments made or approved by the Governor</w:t>
      </w:r>
      <w:r>
        <w:noBreakHyphen/>
      </w:r>
      <w:r w:rsidRPr="00FD274F">
        <w:t>General.</w:t>
      </w:r>
      <w:bookmarkEnd w:id="32"/>
    </w:p>
    <w:p w14:paraId="0468F06C" w14:textId="77777777" w:rsidR="00E86304" w:rsidRPr="00FD274F" w:rsidRDefault="00E86304" w:rsidP="00E86304">
      <w:pPr>
        <w:pStyle w:val="BodyNum"/>
        <w:rPr>
          <w:spacing w:val="-2"/>
        </w:rPr>
      </w:pPr>
      <w:r w:rsidRPr="00FD274F">
        <w:rPr>
          <w:spacing w:val="-2"/>
        </w:rPr>
        <w:t xml:space="preserve">To better target </w:t>
      </w:r>
      <w:proofErr w:type="spellStart"/>
      <w:r w:rsidRPr="00FD274F">
        <w:rPr>
          <w:spacing w:val="-2"/>
        </w:rPr>
        <w:t>OPC’s</w:t>
      </w:r>
      <w:proofErr w:type="spellEnd"/>
      <w:r w:rsidRPr="00FD274F">
        <w:rPr>
          <w:spacing w:val="-2"/>
        </w:rPr>
        <w:t xml:space="preserve"> drafting services to government needs, </w:t>
      </w:r>
      <w:proofErr w:type="spellStart"/>
      <w:r w:rsidRPr="00FD274F">
        <w:rPr>
          <w:spacing w:val="-2"/>
        </w:rPr>
        <w:t>OPC</w:t>
      </w:r>
      <w:proofErr w:type="spellEnd"/>
      <w:r w:rsidRPr="00FD274F">
        <w:rPr>
          <w:spacing w:val="-2"/>
        </w:rPr>
        <w:t xml:space="preserve"> has a prioritisation system for legislative instruments made or approved by the Governor</w:t>
      </w:r>
      <w:r>
        <w:rPr>
          <w:spacing w:val="-2"/>
        </w:rPr>
        <w:noBreakHyphen/>
      </w:r>
      <w:r w:rsidRPr="00FD274F">
        <w:rPr>
          <w:spacing w:val="-2"/>
        </w:rPr>
        <w:t>General (</w:t>
      </w:r>
      <w:proofErr w:type="spellStart"/>
      <w:r w:rsidRPr="00FD274F">
        <w:rPr>
          <w:spacing w:val="-2"/>
        </w:rPr>
        <w:t>ExCo</w:t>
      </w:r>
      <w:proofErr w:type="spellEnd"/>
      <w:r w:rsidRPr="00FD274F">
        <w:rPr>
          <w:spacing w:val="-2"/>
        </w:rPr>
        <w:t xml:space="preserve"> instruments). General policy approval from the Minister (or the Cabinet) for </w:t>
      </w:r>
      <w:proofErr w:type="spellStart"/>
      <w:r w:rsidRPr="00FD274F">
        <w:rPr>
          <w:spacing w:val="-2"/>
        </w:rPr>
        <w:t>ExCo</w:t>
      </w:r>
      <w:proofErr w:type="spellEnd"/>
      <w:r w:rsidRPr="00FD274F">
        <w:rPr>
          <w:spacing w:val="-2"/>
        </w:rPr>
        <w:t xml:space="preserve"> instruments is also required to be in place at the time drafting instructions are issued to </w:t>
      </w:r>
      <w:proofErr w:type="spellStart"/>
      <w:r w:rsidRPr="00FD274F">
        <w:rPr>
          <w:spacing w:val="-2"/>
        </w:rPr>
        <w:t>OPC</w:t>
      </w:r>
      <w:proofErr w:type="spellEnd"/>
      <w:r>
        <w:rPr>
          <w:spacing w:val="-2"/>
        </w:rPr>
        <w:t>,</w:t>
      </w:r>
      <w:r w:rsidRPr="00FD274F">
        <w:rPr>
          <w:spacing w:val="-2"/>
        </w:rPr>
        <w:t xml:space="preserve"> unless other arrangements have bee</w:t>
      </w:r>
      <w:r w:rsidRPr="00C97A6C">
        <w:rPr>
          <w:spacing w:val="-2"/>
        </w:rPr>
        <w:t xml:space="preserve">n made with </w:t>
      </w:r>
      <w:proofErr w:type="spellStart"/>
      <w:r w:rsidRPr="00C97A6C">
        <w:rPr>
          <w:spacing w:val="-2"/>
        </w:rPr>
        <w:t>OPC</w:t>
      </w:r>
      <w:proofErr w:type="spellEnd"/>
      <w:r w:rsidRPr="00C97A6C">
        <w:rPr>
          <w:spacing w:val="-2"/>
        </w:rPr>
        <w:t xml:space="preserve">. More information is available on the </w:t>
      </w:r>
      <w:proofErr w:type="spellStart"/>
      <w:r w:rsidRPr="00C97A6C">
        <w:rPr>
          <w:spacing w:val="-2"/>
        </w:rPr>
        <w:t>OPC</w:t>
      </w:r>
      <w:proofErr w:type="spellEnd"/>
      <w:r w:rsidRPr="00C97A6C">
        <w:rPr>
          <w:spacing w:val="-2"/>
        </w:rPr>
        <w:t xml:space="preserve"> website</w:t>
      </w:r>
      <w:r>
        <w:rPr>
          <w:spacing w:val="-2"/>
        </w:rPr>
        <w:t xml:space="preserve"> </w:t>
      </w:r>
      <w:hyperlink r:id="rId125" w:history="1">
        <w:r w:rsidRPr="00E12592">
          <w:rPr>
            <w:rStyle w:val="Hyperlink"/>
          </w:rPr>
          <w:t>https://www.opc.gov.au/</w:t>
        </w:r>
      </w:hyperlink>
      <w:r w:rsidRPr="00C97A6C">
        <w:rPr>
          <w:spacing w:val="-2"/>
        </w:rPr>
        <w:t xml:space="preserve"> or </w:t>
      </w:r>
      <w:bookmarkStart w:id="33" w:name="_Hlk175821279"/>
      <w:r w:rsidRPr="00C97A6C">
        <w:rPr>
          <w:spacing w:val="-2"/>
        </w:rPr>
        <w:t xml:space="preserve">by contacting </w:t>
      </w:r>
      <w:hyperlink r:id="rId126" w:history="1">
        <w:proofErr w:type="spellStart"/>
        <w:r w:rsidRPr="00E12592">
          <w:rPr>
            <w:rStyle w:val="Hyperlink"/>
            <w:spacing w:val="-2"/>
          </w:rPr>
          <w:t>OPC’s</w:t>
        </w:r>
        <w:proofErr w:type="spellEnd"/>
        <w:r w:rsidRPr="00E12592">
          <w:rPr>
            <w:rStyle w:val="Hyperlink"/>
            <w:spacing w:val="-2"/>
          </w:rPr>
          <w:t xml:space="preserve"> instrument client advisers</w:t>
        </w:r>
      </w:hyperlink>
      <w:r w:rsidRPr="00C97A6C">
        <w:rPr>
          <w:spacing w:val="-2"/>
        </w:rPr>
        <w:t>.</w:t>
      </w:r>
      <w:bookmarkEnd w:id="33"/>
    </w:p>
    <w:p w14:paraId="48DC0466" w14:textId="77777777" w:rsidR="00E86304" w:rsidRPr="00FD274F" w:rsidRDefault="00E86304" w:rsidP="00E86304">
      <w:pPr>
        <w:pStyle w:val="BodyNum"/>
      </w:pPr>
      <w:r w:rsidRPr="00FD274F">
        <w:t xml:space="preserve">Agencies that are developing legislative proposals for instruments required to be drafted by </w:t>
      </w:r>
      <w:proofErr w:type="spellStart"/>
      <w:r w:rsidRPr="00FD274F">
        <w:t>OPC</w:t>
      </w:r>
      <w:proofErr w:type="spellEnd"/>
      <w:r w:rsidRPr="00FD274F">
        <w:t xml:space="preserve"> but that lack the in</w:t>
      </w:r>
      <w:r>
        <w:noBreakHyphen/>
      </w:r>
      <w:r w:rsidRPr="00FD274F">
        <w:t xml:space="preserve">house expertise to answer key legal questions can also get quick, informal advice on drafting aspects of legislation proposals from </w:t>
      </w:r>
      <w:proofErr w:type="spellStart"/>
      <w:r w:rsidRPr="00FD274F">
        <w:t>OPC</w:t>
      </w:r>
      <w:r>
        <w:t>’s</w:t>
      </w:r>
      <w:proofErr w:type="spellEnd"/>
      <w:r w:rsidRPr="00FD274F">
        <w:t xml:space="preserve"> instrument client adviser</w:t>
      </w:r>
      <w:r>
        <w:t>s</w:t>
      </w:r>
      <w:r w:rsidRPr="00FD274F">
        <w:t>.</w:t>
      </w:r>
      <w:r>
        <w:t xml:space="preserve"> </w:t>
      </w:r>
      <w:hyperlink r:id="rId127" w:history="1">
        <w:proofErr w:type="spellStart"/>
        <w:r>
          <w:rPr>
            <w:rStyle w:val="Hyperlink"/>
          </w:rPr>
          <w:t>OPC’s</w:t>
        </w:r>
        <w:proofErr w:type="spellEnd"/>
        <w:r>
          <w:rPr>
            <w:rStyle w:val="Hyperlink"/>
          </w:rPr>
          <w:t xml:space="preserve"> Instrument Fact Sheet Series</w:t>
        </w:r>
      </w:hyperlink>
      <w:r>
        <w:t xml:space="preserve"> provide brief guides and summaries on key considerations for instruments.</w:t>
      </w:r>
    </w:p>
    <w:p w14:paraId="3BA19A7E" w14:textId="77777777" w:rsidR="00E86304" w:rsidRPr="00FD274F" w:rsidRDefault="00E86304" w:rsidP="00E86304">
      <w:pPr>
        <w:pStyle w:val="BodyNum"/>
        <w:rPr>
          <w:rStyle w:val="Hyperlink"/>
          <w:color w:val="auto"/>
        </w:rPr>
      </w:pPr>
      <w:proofErr w:type="spellStart"/>
      <w:r w:rsidRPr="00FD274F">
        <w:t>OPC</w:t>
      </w:r>
      <w:proofErr w:type="spellEnd"/>
      <w:r w:rsidRPr="00FD274F">
        <w:t xml:space="preserve"> is available to draft other instruments on a fee</w:t>
      </w:r>
      <w:r>
        <w:noBreakHyphen/>
      </w:r>
      <w:r w:rsidRPr="00FD274F">
        <w:t>for</w:t>
      </w:r>
      <w:r>
        <w:noBreakHyphen/>
      </w:r>
      <w:r w:rsidRPr="00FD274F">
        <w:t xml:space="preserve">service basis. </w:t>
      </w:r>
      <w:proofErr w:type="spellStart"/>
      <w:r w:rsidRPr="00FD274F">
        <w:t>OPC</w:t>
      </w:r>
      <w:proofErr w:type="spellEnd"/>
      <w:r w:rsidRPr="00FD274F">
        <w:t xml:space="preserve"> can also provide a range of support services for </w:t>
      </w:r>
      <w:r>
        <w:t>agencies drafting their own instruments,</w:t>
      </w:r>
      <w:r w:rsidRPr="00FD274F">
        <w:t xml:space="preserve"> including editorial, document design and compilation services on this basis. More information about </w:t>
      </w:r>
      <w:proofErr w:type="spellStart"/>
      <w:r w:rsidRPr="00FD274F">
        <w:t>OPC</w:t>
      </w:r>
      <w:proofErr w:type="spellEnd"/>
      <w:r w:rsidRPr="00FD274F">
        <w:t xml:space="preserve"> instrument drafting and support services is available on the </w:t>
      </w:r>
      <w:proofErr w:type="spellStart"/>
      <w:r w:rsidRPr="00FD274F">
        <w:t>OPC</w:t>
      </w:r>
      <w:proofErr w:type="spellEnd"/>
      <w:r w:rsidRPr="00FD274F">
        <w:t xml:space="preserve"> website</w:t>
      </w:r>
      <w:r>
        <w:t xml:space="preserve"> </w:t>
      </w:r>
      <w:hyperlink r:id="rId128" w:history="1">
        <w:r w:rsidRPr="00E12592">
          <w:rPr>
            <w:rStyle w:val="Hyperlink"/>
          </w:rPr>
          <w:t>https://www.opc.gov.au/</w:t>
        </w:r>
      </w:hyperlink>
      <w:r w:rsidRPr="00E12592">
        <w:rPr>
          <w:rStyle w:val="Hyperlink"/>
        </w:rPr>
        <w:t>.</w:t>
      </w:r>
    </w:p>
    <w:p w14:paraId="41B09AA8" w14:textId="77777777" w:rsidR="00E86304" w:rsidRPr="00FD274F" w:rsidRDefault="00E86304" w:rsidP="00E86304">
      <w:pPr>
        <w:pStyle w:val="BodyNum"/>
        <w:keepNext/>
      </w:pPr>
      <w:r w:rsidRPr="00FD274F">
        <w:lastRenderedPageBreak/>
        <w:t xml:space="preserve">If an instrument is not to be drafted by </w:t>
      </w:r>
      <w:proofErr w:type="spellStart"/>
      <w:r w:rsidRPr="00FD274F">
        <w:t>OPC</w:t>
      </w:r>
      <w:proofErr w:type="spellEnd"/>
      <w:r w:rsidRPr="00FD274F">
        <w:t>, the person drafting the instrument needs to be aware of the drafting and publishing standards set out in th</w:t>
      </w:r>
      <w:r w:rsidRPr="00DA1B94">
        <w:t>is Chapter</w:t>
      </w:r>
      <w:r w:rsidRPr="00FD274F">
        <w:t>. Compliance with these standards is important and will help ensure that new instruments are:</w:t>
      </w:r>
    </w:p>
    <w:p w14:paraId="2F29F26E" w14:textId="77777777" w:rsidR="00E86304" w:rsidRPr="00FD274F" w:rsidRDefault="00E86304" w:rsidP="00E86304">
      <w:pPr>
        <w:pStyle w:val="BodyPara"/>
      </w:pPr>
      <w:r w:rsidRPr="00FD274F">
        <w:t xml:space="preserve">legally effective—there are a number of laws of general application to consider (see </w:t>
      </w:r>
      <w:r w:rsidRPr="00DA1B94">
        <w:t xml:space="preserve">paragraphs </w:t>
      </w:r>
      <w:r w:rsidRPr="007841D1">
        <w:fldChar w:fldCharType="begin"/>
      </w:r>
      <w:r w:rsidRPr="00DA1B94">
        <w:instrText xml:space="preserve"> REF _Ref367446103 \r \h  \* MERGEFORMAT </w:instrText>
      </w:r>
      <w:r w:rsidRPr="007841D1">
        <w:fldChar w:fldCharType="separate"/>
      </w:r>
      <w:r>
        <w:t>57</w:t>
      </w:r>
      <w:r w:rsidRPr="007841D1">
        <w:fldChar w:fldCharType="end"/>
      </w:r>
      <w:r w:rsidRPr="00DA1B94">
        <w:t xml:space="preserve"> to </w:t>
      </w:r>
      <w:r>
        <w:rPr>
          <w:highlight w:val="yellow"/>
        </w:rPr>
        <w:fldChar w:fldCharType="begin"/>
      </w:r>
      <w:r>
        <w:instrText xml:space="preserve"> REF _Ref384706703 \r \h </w:instrText>
      </w:r>
      <w:r>
        <w:rPr>
          <w:highlight w:val="yellow"/>
        </w:rPr>
      </w:r>
      <w:r>
        <w:rPr>
          <w:highlight w:val="yellow"/>
        </w:rPr>
        <w:fldChar w:fldCharType="separate"/>
      </w:r>
      <w:r>
        <w:t>95</w:t>
      </w:r>
      <w:r>
        <w:rPr>
          <w:highlight w:val="yellow"/>
        </w:rPr>
        <w:fldChar w:fldCharType="end"/>
      </w:r>
      <w:r w:rsidRPr="00DA1B94">
        <w:t>);</w:t>
      </w:r>
      <w:r w:rsidRPr="00FD274F">
        <w:t xml:space="preserve"> and</w:t>
      </w:r>
    </w:p>
    <w:p w14:paraId="77461FCD" w14:textId="77777777" w:rsidR="00E86304" w:rsidRPr="00FD274F" w:rsidRDefault="00E86304" w:rsidP="00E86304">
      <w:pPr>
        <w:pStyle w:val="BodyPara"/>
      </w:pPr>
      <w:r>
        <w:t>clear; and</w:t>
      </w:r>
    </w:p>
    <w:p w14:paraId="583F045E" w14:textId="77777777" w:rsidR="00E86304" w:rsidRPr="00FD274F" w:rsidRDefault="00E86304" w:rsidP="00E86304">
      <w:pPr>
        <w:pStyle w:val="BodyPara"/>
      </w:pPr>
      <w:r w:rsidRPr="00FD274F">
        <w:t>intelligible to anticipated users, including people who may rely on assistive technolog</w:t>
      </w:r>
      <w:r w:rsidRPr="00DA1B94">
        <w:t xml:space="preserve">y (see paragraph </w:t>
      </w:r>
      <w:r>
        <w:fldChar w:fldCharType="begin"/>
      </w:r>
      <w:r>
        <w:instrText xml:space="preserve"> REF _Ref185322055 \r \h </w:instrText>
      </w:r>
      <w:r>
        <w:fldChar w:fldCharType="separate"/>
      </w:r>
      <w:r>
        <w:t>118</w:t>
      </w:r>
      <w:r>
        <w:fldChar w:fldCharType="end"/>
      </w:r>
      <w:r>
        <w:t>)</w:t>
      </w:r>
    </w:p>
    <w:p w14:paraId="04975E99" w14:textId="77777777" w:rsidR="00E86304" w:rsidRPr="00FD274F" w:rsidRDefault="00E86304" w:rsidP="00E86304">
      <w:pPr>
        <w:pStyle w:val="Head3"/>
      </w:pPr>
      <w:bookmarkStart w:id="34" w:name="_Toc238117534"/>
      <w:r w:rsidRPr="00FD274F">
        <w:t>General principles for interpretation of instruments</w:t>
      </w:r>
      <w:bookmarkEnd w:id="34"/>
    </w:p>
    <w:p w14:paraId="3E14BBE5" w14:textId="77777777" w:rsidR="00E86304" w:rsidRPr="00FD274F" w:rsidRDefault="00E86304" w:rsidP="00E86304">
      <w:pPr>
        <w:pStyle w:val="BodyNum"/>
      </w:pPr>
      <w:bookmarkStart w:id="35" w:name="_Ref367446103"/>
      <w:r w:rsidRPr="00FD274F">
        <w:t xml:space="preserve">Subject to a contrary intention in the enabling legislation, the </w:t>
      </w:r>
      <w:hyperlink r:id="rId129" w:history="1">
        <w:r w:rsidRPr="007841D1">
          <w:rPr>
            <w:rStyle w:val="Hyperlink"/>
          </w:rPr>
          <w:t>LA</w:t>
        </w:r>
      </w:hyperlink>
      <w:r w:rsidRPr="007841D1">
        <w:t>:</w:t>
      </w:r>
      <w:bookmarkEnd w:id="35"/>
    </w:p>
    <w:p w14:paraId="3C790F64" w14:textId="77777777" w:rsidR="00E86304" w:rsidRPr="00FD274F" w:rsidRDefault="00E86304" w:rsidP="00E86304">
      <w:pPr>
        <w:pStyle w:val="BodyPara"/>
      </w:pPr>
      <w:r w:rsidRPr="00FD274F">
        <w:t xml:space="preserve">applies the </w:t>
      </w:r>
      <w:hyperlink r:id="rId130" w:history="1">
        <w:hyperlink r:id="rId131" w:history="1">
          <w:r w:rsidRPr="00E12592">
            <w:rPr>
              <w:rStyle w:val="Hyperlink"/>
              <w:i/>
            </w:rPr>
            <w:t>Acts Interpretation Act 1901</w:t>
          </w:r>
        </w:hyperlink>
      </w:hyperlink>
      <w:r w:rsidRPr="00E12592">
        <w:t xml:space="preserve"> to</w:t>
      </w:r>
      <w:r w:rsidRPr="00FD274F">
        <w:t xml:space="preserve"> a legislative instrument as if it were an Act and each provision were a section of an Act </w:t>
      </w:r>
      <w:r w:rsidRPr="007841D1">
        <w:t>(</w:t>
      </w:r>
      <w:hyperlink r:id="rId132" w:history="1">
        <w:r w:rsidRPr="007841D1">
          <w:rPr>
            <w:rStyle w:val="Hyperlink"/>
          </w:rPr>
          <w:t>LA</w:t>
        </w:r>
      </w:hyperlink>
      <w:r w:rsidRPr="007841D1">
        <w:t xml:space="preserve"> s 13(1)(a));</w:t>
      </w:r>
      <w:r w:rsidRPr="00FD274F">
        <w:t xml:space="preserve"> and</w:t>
      </w:r>
    </w:p>
    <w:p w14:paraId="0B5048F2" w14:textId="77777777" w:rsidR="00E86304" w:rsidRPr="00FD274F" w:rsidRDefault="00E86304" w:rsidP="00E86304">
      <w:pPr>
        <w:pStyle w:val="BodyPara"/>
      </w:pPr>
      <w:r w:rsidRPr="00FD274F">
        <w:t xml:space="preserve">gives expressions used in a legislative instrument the same meaning as in the enabling legislation as in force from time to time </w:t>
      </w:r>
      <w:r w:rsidRPr="007841D1">
        <w:t>(</w:t>
      </w:r>
      <w:hyperlink r:id="rId133" w:history="1">
        <w:r w:rsidRPr="007841D1">
          <w:rPr>
            <w:rStyle w:val="Hyperlink"/>
          </w:rPr>
          <w:t>LA</w:t>
        </w:r>
      </w:hyperlink>
      <w:r w:rsidRPr="007841D1">
        <w:t xml:space="preserve"> s 13(1)(b));</w:t>
      </w:r>
      <w:r w:rsidRPr="00FD274F">
        <w:t xml:space="preserve"> and</w:t>
      </w:r>
    </w:p>
    <w:p w14:paraId="220B28AF" w14:textId="77777777" w:rsidR="00E86304" w:rsidRPr="00FD274F" w:rsidRDefault="00E86304" w:rsidP="00E86304">
      <w:pPr>
        <w:pStyle w:val="BodyPara"/>
      </w:pPr>
      <w:r w:rsidRPr="00FD274F">
        <w:t>requires a legislative instrument to be read subject to the enabling legislation as in force from time to time, and so as not to exceed the rule</w:t>
      </w:r>
      <w:r>
        <w:noBreakHyphen/>
      </w:r>
      <w:r w:rsidRPr="00FD274F">
        <w:t xml:space="preserve">maker’s power </w:t>
      </w:r>
      <w:r w:rsidRPr="007841D1">
        <w:t>(</w:t>
      </w:r>
      <w:hyperlink r:id="rId134" w:history="1">
        <w:r w:rsidRPr="007841D1">
          <w:rPr>
            <w:rStyle w:val="Hyperlink"/>
          </w:rPr>
          <w:t>LA</w:t>
        </w:r>
      </w:hyperlink>
      <w:r w:rsidRPr="007841D1">
        <w:t xml:space="preserve"> s 13(1)(c)); a</w:t>
      </w:r>
      <w:r w:rsidRPr="00FD274F">
        <w:t>nd</w:t>
      </w:r>
    </w:p>
    <w:p w14:paraId="212480F7" w14:textId="77777777" w:rsidR="00E86304" w:rsidRPr="00FD274F" w:rsidRDefault="00E86304" w:rsidP="00E86304">
      <w:pPr>
        <w:pStyle w:val="BodyPara"/>
        <w:rPr>
          <w:spacing w:val="-2"/>
        </w:rPr>
      </w:pPr>
      <w:r w:rsidRPr="00FD274F">
        <w:rPr>
          <w:spacing w:val="-2"/>
        </w:rPr>
        <w:t>provides that, if the legislative instrument exceeds the rule</w:t>
      </w:r>
      <w:r>
        <w:rPr>
          <w:spacing w:val="-2"/>
        </w:rPr>
        <w:noBreakHyphen/>
      </w:r>
      <w:r w:rsidRPr="00FD274F">
        <w:rPr>
          <w:spacing w:val="-2"/>
        </w:rPr>
        <w:t>maker’s power, the instrument is taken to be valid to the extent that it is within pow</w:t>
      </w:r>
      <w:r w:rsidRPr="007841D1">
        <w:rPr>
          <w:spacing w:val="-2"/>
        </w:rPr>
        <w:t>er (</w:t>
      </w:r>
      <w:hyperlink r:id="rId135" w:history="1">
        <w:r w:rsidRPr="007841D1">
          <w:rPr>
            <w:rStyle w:val="Hyperlink"/>
            <w:spacing w:val="-2"/>
          </w:rPr>
          <w:t>LA</w:t>
        </w:r>
      </w:hyperlink>
      <w:r w:rsidRPr="007841D1">
        <w:rPr>
          <w:rStyle w:val="Hyperlink"/>
          <w:spacing w:val="-2"/>
        </w:rPr>
        <w:t> </w:t>
      </w:r>
      <w:r w:rsidRPr="007841D1">
        <w:rPr>
          <w:spacing w:val="-2"/>
        </w:rPr>
        <w:t>s 13(2))</w:t>
      </w:r>
      <w:r w:rsidRPr="00FD274F">
        <w:rPr>
          <w:spacing w:val="-2"/>
        </w:rPr>
        <w:t>.</w:t>
      </w:r>
    </w:p>
    <w:p w14:paraId="107450D6" w14:textId="77777777" w:rsidR="00E86304" w:rsidRPr="00FD274F" w:rsidRDefault="00E86304" w:rsidP="00E86304">
      <w:pPr>
        <w:pStyle w:val="BodyNum"/>
      </w:pPr>
      <w:r w:rsidRPr="00FD274F">
        <w:t xml:space="preserve">The </w:t>
      </w:r>
      <w:hyperlink r:id="rId136" w:history="1">
        <w:r w:rsidRPr="007841D1">
          <w:rPr>
            <w:rStyle w:val="Hyperlink"/>
          </w:rPr>
          <w:t>LA</w:t>
        </w:r>
      </w:hyperlink>
      <w:r w:rsidRPr="007841D1">
        <w:rPr>
          <w:rStyle w:val="Hyperlink"/>
        </w:rPr>
        <w:t xml:space="preserve"> </w:t>
      </w:r>
      <w:r w:rsidRPr="007841D1">
        <w:t>als</w:t>
      </w:r>
      <w:r w:rsidRPr="00FD274F">
        <w:t>o provides that a rule</w:t>
      </w:r>
      <w:r>
        <w:noBreakHyphen/>
      </w:r>
      <w:r w:rsidRPr="00FD274F">
        <w:t>maker, in exercising a power to make a legislative instrument in relation to a matter (including a thing, person or animal), may identify the matter by referring to a class or classes of matter</w:t>
      </w:r>
      <w:r w:rsidRPr="007841D1">
        <w:t>s (</w:t>
      </w:r>
      <w:hyperlink r:id="rId137" w:history="1">
        <w:r w:rsidRPr="007841D1">
          <w:rPr>
            <w:rStyle w:val="Hyperlink"/>
          </w:rPr>
          <w:t>LA</w:t>
        </w:r>
      </w:hyperlink>
      <w:r w:rsidRPr="007841D1">
        <w:t xml:space="preserve"> s 13(3)).</w:t>
      </w:r>
      <w:r w:rsidRPr="00FD274F">
        <w:t xml:space="preserve"> A rule</w:t>
      </w:r>
      <w:r>
        <w:noBreakHyphen/>
      </w:r>
      <w:r w:rsidRPr="00FD274F">
        <w:t>maker may also:</w:t>
      </w:r>
    </w:p>
    <w:p w14:paraId="594DD1B2" w14:textId="77777777" w:rsidR="00E86304" w:rsidRPr="00FD274F" w:rsidRDefault="00E86304" w:rsidP="00E86304">
      <w:pPr>
        <w:pStyle w:val="BodyPara"/>
      </w:pPr>
      <w:r w:rsidRPr="00FD274F">
        <w:t>specify when the instrument or a provision of the instrument commences (within the limits set out i</w:t>
      </w:r>
      <w:r w:rsidRPr="007841D1">
        <w:t xml:space="preserve">n </w:t>
      </w:r>
      <w:hyperlink r:id="rId138" w:history="1">
        <w:r w:rsidRPr="007841D1">
          <w:rPr>
            <w:rStyle w:val="Hyperlink"/>
          </w:rPr>
          <w:t>LA</w:t>
        </w:r>
      </w:hyperlink>
      <w:r w:rsidRPr="007841D1">
        <w:t xml:space="preserve"> s 12</w:t>
      </w:r>
      <w:r w:rsidRPr="00FD274F">
        <w:t>: s</w:t>
      </w:r>
      <w:r w:rsidRPr="00F719B9">
        <w:t xml:space="preserve">ee paragraph </w:t>
      </w:r>
      <w:r w:rsidRPr="007841D1">
        <w:fldChar w:fldCharType="begin"/>
      </w:r>
      <w:r w:rsidRPr="00F719B9">
        <w:instrText xml:space="preserve"> REF _Ref367446165 \r \h  \* MERGEFORMAT </w:instrText>
      </w:r>
      <w:r w:rsidRPr="007841D1">
        <w:fldChar w:fldCharType="separate"/>
      </w:r>
      <w:r>
        <w:t>70</w:t>
      </w:r>
      <w:r w:rsidRPr="007841D1">
        <w:fldChar w:fldCharType="end"/>
      </w:r>
      <w:r w:rsidRPr="00F719B9">
        <w:t>);</w:t>
      </w:r>
      <w:r w:rsidRPr="00FD274F">
        <w:t xml:space="preserve"> and</w:t>
      </w:r>
    </w:p>
    <w:p w14:paraId="19727D19" w14:textId="77777777" w:rsidR="00E86304" w:rsidRPr="00FD274F" w:rsidRDefault="00E86304" w:rsidP="00E86304">
      <w:pPr>
        <w:pStyle w:val="BodyPara"/>
      </w:pPr>
      <w:r w:rsidRPr="00FD274F">
        <w:t xml:space="preserve">prescribe matters by reference to another document (within the limits set out in </w:t>
      </w:r>
      <w:hyperlink r:id="rId139" w:history="1">
        <w:r w:rsidRPr="007841D1">
          <w:rPr>
            <w:rStyle w:val="Hyperlink"/>
          </w:rPr>
          <w:t>LA</w:t>
        </w:r>
      </w:hyperlink>
      <w:r w:rsidRPr="007841D1">
        <w:rPr>
          <w:rStyle w:val="Hyperlink"/>
        </w:rPr>
        <w:t xml:space="preserve"> </w:t>
      </w:r>
      <w:r w:rsidRPr="007841D1">
        <w:t>s 14:</w:t>
      </w:r>
      <w:r w:rsidRPr="00FD274F">
        <w:t xml:space="preserve"> see </w:t>
      </w:r>
      <w:r w:rsidRPr="00F719B9">
        <w:t>paragraph</w:t>
      </w:r>
      <w:r>
        <w:t xml:space="preserve">s </w:t>
      </w:r>
      <w:r>
        <w:fldChar w:fldCharType="begin"/>
      </w:r>
      <w:r>
        <w:instrText xml:space="preserve"> REF _Ref428882029 \r \h </w:instrText>
      </w:r>
      <w:r>
        <w:fldChar w:fldCharType="separate"/>
      </w:r>
      <w:r>
        <w:t>96</w:t>
      </w:r>
      <w:r>
        <w:fldChar w:fldCharType="end"/>
      </w:r>
      <w:r>
        <w:t xml:space="preserve"> to </w:t>
      </w:r>
      <w:r>
        <w:fldChar w:fldCharType="begin"/>
      </w:r>
      <w:r>
        <w:instrText xml:space="preserve"> REF _Ref184283646 \r \h </w:instrText>
      </w:r>
      <w:r>
        <w:fldChar w:fldCharType="separate"/>
      </w:r>
      <w:r>
        <w:t>101</w:t>
      </w:r>
      <w:r>
        <w:fldChar w:fldCharType="end"/>
      </w:r>
      <w:r w:rsidRPr="00F719B9">
        <w:t>).</w:t>
      </w:r>
    </w:p>
    <w:p w14:paraId="5835DCFB" w14:textId="77777777" w:rsidR="00E86304" w:rsidRPr="00FD274F" w:rsidRDefault="00E86304" w:rsidP="00E86304">
      <w:pPr>
        <w:pStyle w:val="Head3"/>
      </w:pPr>
      <w:bookmarkStart w:id="36" w:name="_Toc238117535"/>
      <w:r w:rsidRPr="00FD274F">
        <w:t>What should be included in an instrument</w:t>
      </w:r>
      <w:bookmarkEnd w:id="36"/>
    </w:p>
    <w:p w14:paraId="256B6C2A" w14:textId="77777777" w:rsidR="00E86304" w:rsidRPr="00FD274F" w:rsidRDefault="00E86304" w:rsidP="00E86304">
      <w:pPr>
        <w:pStyle w:val="BodyNum"/>
      </w:pPr>
      <w:r w:rsidRPr="00FD274F">
        <w:t>Appropriate Australian Government branding (e.g. the Commonwealth Coat of Arms or Australian Government logo) is important to ensure that an instrument is easily identifiable as an official document. The branding chosen should be consistent with relevant whole</w:t>
      </w:r>
      <w:r>
        <w:noBreakHyphen/>
      </w:r>
      <w:r w:rsidRPr="00FD274F">
        <w:t>of</w:t>
      </w:r>
      <w:r>
        <w:noBreakHyphen/>
      </w:r>
      <w:r w:rsidRPr="00FD274F">
        <w:t>government guidelin</w:t>
      </w:r>
      <w:r w:rsidRPr="00E12592">
        <w:t>es</w:t>
      </w:r>
      <w:r w:rsidRPr="00E12592">
        <w:rPr>
          <w:rStyle w:val="FootnoteReference"/>
        </w:rPr>
        <w:footnoteReference w:id="8"/>
      </w:r>
      <w:r w:rsidRPr="00E12592">
        <w:t>.</w:t>
      </w:r>
    </w:p>
    <w:p w14:paraId="25215F13" w14:textId="77777777" w:rsidR="00E86304" w:rsidRPr="00FD274F" w:rsidRDefault="00E86304" w:rsidP="00E86304">
      <w:pPr>
        <w:pStyle w:val="Head4"/>
      </w:pPr>
      <w:r w:rsidRPr="00FD274F">
        <w:lastRenderedPageBreak/>
        <w:t>Recommended approach</w:t>
      </w:r>
    </w:p>
    <w:p w14:paraId="0C493140" w14:textId="77777777" w:rsidR="00E86304" w:rsidRPr="00134960" w:rsidRDefault="00E86304" w:rsidP="00E86304">
      <w:pPr>
        <w:pStyle w:val="BodyNum"/>
        <w:rPr>
          <w:spacing w:val="-4"/>
        </w:rPr>
      </w:pPr>
      <w:r w:rsidRPr="00FD274F">
        <w:rPr>
          <w:spacing w:val="-4"/>
        </w:rPr>
        <w:t xml:space="preserve">In addition to Australian Government branding, an instrument should include the following </w:t>
      </w:r>
      <w:r w:rsidRPr="00FD274F">
        <w:t xml:space="preserve">(see also </w:t>
      </w:r>
      <w:r w:rsidRPr="00134960">
        <w:t>Illustration 3A)</w:t>
      </w:r>
      <w:r w:rsidRPr="00134960">
        <w:rPr>
          <w:spacing w:val="-4"/>
        </w:rPr>
        <w:t>:</w:t>
      </w:r>
    </w:p>
    <w:p w14:paraId="6EF31374" w14:textId="77777777" w:rsidR="00E86304" w:rsidRPr="00FD274F" w:rsidRDefault="00E86304" w:rsidP="00E86304">
      <w:pPr>
        <w:pStyle w:val="BodyPara"/>
      </w:pPr>
      <w:r w:rsidRPr="00FD274F">
        <w:t>the words making the instrument—these should reflect the language of the enabling Act;</w:t>
      </w:r>
    </w:p>
    <w:p w14:paraId="7E3E339C" w14:textId="77777777" w:rsidR="00E86304" w:rsidRPr="00FD274F" w:rsidRDefault="00E86304" w:rsidP="00E86304">
      <w:pPr>
        <w:pStyle w:val="BodyPara"/>
      </w:pPr>
      <w:r w:rsidRPr="00FD274F">
        <w:t>the date of making;</w:t>
      </w:r>
    </w:p>
    <w:p w14:paraId="334EEC39" w14:textId="77777777" w:rsidR="00E86304" w:rsidRDefault="00E86304" w:rsidP="00E86304">
      <w:pPr>
        <w:pStyle w:val="BodyPara"/>
      </w:pPr>
      <w:r w:rsidRPr="00FD274F">
        <w:t>the name as signed, and title, of each maker of the instrument.</w:t>
      </w:r>
    </w:p>
    <w:p w14:paraId="75C9069E" w14:textId="77777777" w:rsidR="00E86304" w:rsidRDefault="00E86304" w:rsidP="00E86304">
      <w:pPr>
        <w:pStyle w:val="BodyNum"/>
      </w:pPr>
      <w:r>
        <w:t>For a Minister or Assistant Minister, the title of the rule-maker should be the title by which the Minister or Assistant Minister was sworn in by the Governor-General.</w:t>
      </w:r>
    </w:p>
    <w:p w14:paraId="3C0FD947" w14:textId="77777777" w:rsidR="00E86304" w:rsidRDefault="00E86304" w:rsidP="00E86304">
      <w:pPr>
        <w:pStyle w:val="BodyNum"/>
      </w:pPr>
      <w:r>
        <w:t>For example, the title for an Assistant Minister will include the formal Parliamentary Secretary title, such as “</w:t>
      </w:r>
      <w:r w:rsidRPr="008262BB">
        <w:rPr>
          <w:iCs/>
          <w:szCs w:val="22"/>
        </w:rPr>
        <w:t xml:space="preserve">Assistant Minister to the Attorney-General, </w:t>
      </w:r>
      <w:r w:rsidRPr="008262BB">
        <w:rPr>
          <w:szCs w:val="22"/>
        </w:rPr>
        <w:t xml:space="preserve">Parliamentary Secretary to the </w:t>
      </w:r>
      <w:r w:rsidRPr="008262BB">
        <w:rPr>
          <w:iCs/>
          <w:szCs w:val="22"/>
        </w:rPr>
        <w:t>Attorney-General</w:t>
      </w:r>
      <w:r>
        <w:rPr>
          <w:iCs/>
          <w:szCs w:val="22"/>
        </w:rPr>
        <w:t>”</w:t>
      </w:r>
      <w:r>
        <w:t>.</w:t>
      </w:r>
    </w:p>
    <w:p w14:paraId="470F58A0" w14:textId="77777777" w:rsidR="00E86304" w:rsidRPr="00FD274F" w:rsidRDefault="00E86304" w:rsidP="00E86304">
      <w:pPr>
        <w:pStyle w:val="BodyNum"/>
      </w:pPr>
      <w:r>
        <w:t xml:space="preserve">These titles can be verified with the </w:t>
      </w:r>
      <w:proofErr w:type="spellStart"/>
      <w:r>
        <w:t>ExCo</w:t>
      </w:r>
      <w:proofErr w:type="spellEnd"/>
      <w:r>
        <w:t xml:space="preserve"> and Government Division of </w:t>
      </w:r>
      <w:proofErr w:type="spellStart"/>
      <w:r>
        <w:t>PM&amp;C</w:t>
      </w:r>
      <w:proofErr w:type="spellEnd"/>
      <w:r>
        <w:t>.</w:t>
      </w:r>
    </w:p>
    <w:p w14:paraId="32C7D82E" w14:textId="77777777" w:rsidR="00E86304" w:rsidRPr="00FD274F" w:rsidRDefault="00E86304" w:rsidP="00E86304">
      <w:pPr>
        <w:pStyle w:val="Body"/>
        <w:widowControl w:val="0"/>
        <w:rPr>
          <w:b/>
        </w:rPr>
      </w:pPr>
      <w:r w:rsidRPr="00134960">
        <w:rPr>
          <w:b/>
        </w:rPr>
        <w:t>Illustration 3A</w:t>
      </w:r>
      <w:r w:rsidRPr="00FD274F">
        <w:rPr>
          <w:b/>
        </w:rPr>
        <w:t>—generic official branding and making word</w:t>
      </w:r>
      <w:r w:rsidRPr="00E12592">
        <w:rPr>
          <w:b/>
        </w:rPr>
        <w:t>s</w:t>
      </w:r>
      <w:r w:rsidRPr="00E12592">
        <w:rPr>
          <w:rStyle w:val="FootnoteReference"/>
          <w:b/>
        </w:rPr>
        <w:footnoteReference w:id="9"/>
      </w:r>
    </w:p>
    <w:p w14:paraId="37BD1F53" w14:textId="77777777" w:rsidR="00E86304" w:rsidRPr="00FD274F" w:rsidRDefault="00E86304" w:rsidP="00E86304">
      <w:pPr>
        <w:pStyle w:val="BodyNum"/>
        <w:numPr>
          <w:ilvl w:val="0"/>
          <w:numId w:val="0"/>
        </w:numPr>
      </w:pPr>
      <w:r w:rsidRPr="00FD274F">
        <w:rPr>
          <w:noProof/>
        </w:rPr>
        <w:drawing>
          <wp:inline distT="0" distB="0" distL="0" distR="0" wp14:anchorId="4440EEFA" wp14:editId="0A1CBF78">
            <wp:extent cx="5241600" cy="3960000"/>
            <wp:effectExtent l="19050" t="19050" r="16510" b="21590"/>
            <wp:docPr id="5" name="Picture 5" descr="Shows generic official branding (the Australian coat of arms) and making words followed by a signature block." title="Illustration 3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lustration 3A.png"/>
                    <pic:cNvPicPr/>
                  </pic:nvPicPr>
                  <pic:blipFill>
                    <a:blip r:embed="rId140">
                      <a:extLst>
                        <a:ext uri="{28A0092B-C50C-407E-A947-70E740481C1C}">
                          <a14:useLocalDpi xmlns:a14="http://schemas.microsoft.com/office/drawing/2010/main" val="0"/>
                        </a:ext>
                      </a:extLst>
                    </a:blip>
                    <a:stretch>
                      <a:fillRect/>
                    </a:stretch>
                  </pic:blipFill>
                  <pic:spPr>
                    <a:xfrm>
                      <a:off x="0" y="0"/>
                      <a:ext cx="5241600" cy="3960000"/>
                    </a:xfrm>
                    <a:prstGeom prst="rect">
                      <a:avLst/>
                    </a:prstGeom>
                    <a:ln>
                      <a:solidFill>
                        <a:schemeClr val="tx1"/>
                      </a:solidFill>
                    </a:ln>
                  </pic:spPr>
                </pic:pic>
              </a:graphicData>
            </a:graphic>
          </wp:inline>
        </w:drawing>
      </w:r>
    </w:p>
    <w:p w14:paraId="6D6778FC" w14:textId="77777777" w:rsidR="00E86304" w:rsidRPr="00FD274F" w:rsidRDefault="00E86304" w:rsidP="00E86304">
      <w:pPr>
        <w:pStyle w:val="BodyNum"/>
        <w:keepNext/>
        <w:keepLines/>
      </w:pPr>
      <w:r w:rsidRPr="00FD274F">
        <w:lastRenderedPageBreak/>
        <w:t xml:space="preserve">The making words are usually followed by a page break, a table of contents </w:t>
      </w:r>
      <w:r>
        <w:t>(</w:t>
      </w:r>
      <w:r w:rsidRPr="00FD274F">
        <w:t>unless the instrument is very short</w:t>
      </w:r>
      <w:r>
        <w:t>)</w:t>
      </w:r>
      <w:r w:rsidRPr="00FD274F">
        <w:t xml:space="preserve">, and the main body of the instrument. The main body of the instrument should start with certain standard provisions, and these provisions should not be combined with the making words or with any other provisions. These standard provisions, and the recommended order of provisions, is as follows (see </w:t>
      </w:r>
      <w:r w:rsidRPr="00134960">
        <w:t>also Illustration 3B):</w:t>
      </w:r>
    </w:p>
    <w:p w14:paraId="3599407A" w14:textId="77777777" w:rsidR="00E86304" w:rsidRPr="00FD274F" w:rsidRDefault="00E86304" w:rsidP="00E86304">
      <w:pPr>
        <w:pStyle w:val="BodyPara"/>
        <w:keepNext/>
        <w:keepLines/>
      </w:pPr>
      <w:r w:rsidRPr="00FD274F">
        <w:rPr>
          <w:b/>
        </w:rPr>
        <w:t xml:space="preserve">Name. </w:t>
      </w:r>
      <w:r w:rsidRPr="00FD274F">
        <w:t xml:space="preserve">A naming provision should be included in all legislative instruments other than commencement instruments. The name given to an instrument should be convenient (not too long) and unique, so that the instrument can be identified with complete certainty from its name alone. For detailed guidance </w:t>
      </w:r>
      <w:r w:rsidRPr="0023124E">
        <w:t xml:space="preserve">on the naming of instruments, please refer to </w:t>
      </w:r>
      <w:hyperlink r:id="rId141" w:history="1">
        <w:proofErr w:type="spellStart"/>
        <w:r w:rsidRPr="0023124E">
          <w:rPr>
            <w:rStyle w:val="Hyperlink"/>
          </w:rPr>
          <w:t>OPC</w:t>
        </w:r>
        <w:proofErr w:type="spellEnd"/>
        <w:r w:rsidRPr="0023124E">
          <w:rPr>
            <w:rStyle w:val="Hyperlink"/>
          </w:rPr>
          <w:t xml:space="preserve"> Drafting Direction 1.1A</w:t>
        </w:r>
      </w:hyperlink>
      <w:r w:rsidRPr="0023124E">
        <w:rPr>
          <w:rStyle w:val="Hyperlink"/>
        </w:rPr>
        <w:t>.</w:t>
      </w:r>
      <w:r w:rsidRPr="00FD274F">
        <w:rPr>
          <w:rStyle w:val="Hyperlink"/>
        </w:rPr>
        <w:t xml:space="preserve"> </w:t>
      </w:r>
      <w:r w:rsidRPr="00FD274F">
        <w:t>Note also that</w:t>
      </w:r>
      <w:r>
        <w:t xml:space="preserve"> the</w:t>
      </w:r>
      <w:r w:rsidRPr="00FD274F">
        <w:t xml:space="preserve"> </w:t>
      </w:r>
      <w:r>
        <w:t>First Parliamentary Counsel</w:t>
      </w:r>
      <w:r w:rsidRPr="00FD274F">
        <w:t xml:space="preserve"> may name or rename </w:t>
      </w:r>
      <w:r>
        <w:t>instruments</w:t>
      </w:r>
      <w:r w:rsidRPr="00FD274F">
        <w:t xml:space="preserve"> if they do not have a name that is unique (</w:t>
      </w:r>
      <w:r w:rsidRPr="00481F36">
        <w:t xml:space="preserve">see </w:t>
      </w:r>
      <w:hyperlink r:id="rId142" w:history="1">
        <w:r w:rsidRPr="00481F36">
          <w:rPr>
            <w:rStyle w:val="Hyperlink"/>
          </w:rPr>
          <w:t>LA</w:t>
        </w:r>
      </w:hyperlink>
      <w:r w:rsidRPr="00481F36">
        <w:t xml:space="preserve"> s 15M(</w:t>
      </w:r>
      <w:r w:rsidRPr="00FD274F">
        <w:t>b) an</w:t>
      </w:r>
      <w:r w:rsidRPr="0023124E">
        <w:t xml:space="preserve">d </w:t>
      </w:r>
      <w:hyperlink r:id="rId143" w:history="1">
        <w:r w:rsidRPr="00001937">
          <w:rPr>
            <w:rStyle w:val="Hyperlink"/>
          </w:rPr>
          <w:t>LR</w:t>
        </w:r>
      </w:hyperlink>
      <w:r w:rsidRPr="0023124E">
        <w:t xml:space="preserve"> s 1</w:t>
      </w:r>
      <w:r>
        <w:t>1</w:t>
      </w:r>
      <w:r w:rsidRPr="0023124E">
        <w:t>)</w:t>
      </w:r>
      <w:r w:rsidRPr="00FD274F">
        <w:t>.</w:t>
      </w:r>
      <w:r>
        <w:t xml:space="preserve"> Additionally, the First Parliamentary Counsel may amend the name of an instrument or other document lodged for registration to give the instrument or document a name that includes the year of its making (see </w:t>
      </w:r>
      <w:hyperlink r:id="rId144" w:history="1">
        <w:r w:rsidRPr="00001937">
          <w:rPr>
            <w:rStyle w:val="Hyperlink"/>
          </w:rPr>
          <w:t>LR</w:t>
        </w:r>
      </w:hyperlink>
      <w:r>
        <w:t xml:space="preserve"> s 12).</w:t>
      </w:r>
    </w:p>
    <w:p w14:paraId="534B5592" w14:textId="77777777" w:rsidR="00E86304" w:rsidRPr="00873C43" w:rsidRDefault="00E86304" w:rsidP="00E86304">
      <w:pPr>
        <w:pStyle w:val="BodyPara"/>
      </w:pPr>
      <w:r w:rsidRPr="00FD274F">
        <w:rPr>
          <w:b/>
        </w:rPr>
        <w:t xml:space="preserve">Commencement. </w:t>
      </w:r>
      <w:r w:rsidRPr="00FD274F">
        <w:t xml:space="preserve">A commencement provision is important to set out when the instrument </w:t>
      </w:r>
      <w:r w:rsidRPr="00481F36">
        <w:t>will commence, even if the default commencement applying under th</w:t>
      </w:r>
      <w:r w:rsidRPr="00FD274F">
        <w:t xml:space="preserve">e </w:t>
      </w:r>
      <w:hyperlink r:id="rId145" w:history="1">
        <w:r w:rsidRPr="00FD274F">
          <w:rPr>
            <w:rStyle w:val="Hyperlink"/>
          </w:rPr>
          <w:t>LA</w:t>
        </w:r>
      </w:hyperlink>
      <w:r w:rsidRPr="00FD274F">
        <w:t xml:space="preserve"> is to be used. For more information on commencement, see paragra</w:t>
      </w:r>
      <w:r w:rsidRPr="00873C43">
        <w:t xml:space="preserve">phs </w:t>
      </w:r>
      <w:r w:rsidRPr="00873C43">
        <w:fldChar w:fldCharType="begin"/>
      </w:r>
      <w:r w:rsidRPr="00481F36">
        <w:instrText xml:space="preserve"> REF _Ref367446165 \r \h  \* MERGEFORMAT </w:instrText>
      </w:r>
      <w:r w:rsidRPr="00873C43">
        <w:fldChar w:fldCharType="separate"/>
      </w:r>
      <w:r>
        <w:t>70</w:t>
      </w:r>
      <w:r w:rsidRPr="00873C43">
        <w:fldChar w:fldCharType="end"/>
      </w:r>
      <w:r w:rsidRPr="00873C43">
        <w:t xml:space="preserve"> to </w:t>
      </w:r>
      <w:r w:rsidRPr="00481F36">
        <w:fldChar w:fldCharType="begin"/>
      </w:r>
      <w:r w:rsidRPr="00873C43">
        <w:instrText xml:space="preserve"> REF _Ref386036642 \r \h  \* MERGEFORMAT </w:instrText>
      </w:r>
      <w:r w:rsidRPr="00481F36">
        <w:fldChar w:fldCharType="separate"/>
      </w:r>
      <w:r>
        <w:t>81</w:t>
      </w:r>
      <w:r w:rsidRPr="00481F36">
        <w:fldChar w:fldCharType="end"/>
      </w:r>
      <w:r w:rsidRPr="00873C43">
        <w:t>.</w:t>
      </w:r>
    </w:p>
    <w:p w14:paraId="0C1EA64C" w14:textId="77777777" w:rsidR="00E86304" w:rsidRPr="00FD274F" w:rsidRDefault="00E86304" w:rsidP="00E86304">
      <w:pPr>
        <w:pStyle w:val="BodyPara"/>
      </w:pPr>
      <w:r w:rsidRPr="00FD274F">
        <w:rPr>
          <w:b/>
        </w:rPr>
        <w:t xml:space="preserve">Authority. </w:t>
      </w:r>
      <w:r w:rsidRPr="00FD274F">
        <w:t xml:space="preserve">An authority provision should be included in all legislative instruments other than commencement instruments, to identify the enabling legislation as defined </w:t>
      </w:r>
      <w:r w:rsidRPr="00481F36">
        <w:t xml:space="preserve">in </w:t>
      </w:r>
      <w:hyperlink r:id="rId146" w:history="1">
        <w:r w:rsidRPr="00481F36">
          <w:rPr>
            <w:rStyle w:val="Hyperlink"/>
          </w:rPr>
          <w:t>LA</w:t>
        </w:r>
      </w:hyperlink>
      <w:r w:rsidRPr="00481F36">
        <w:rPr>
          <w:rStyle w:val="Hyperlink"/>
        </w:rPr>
        <w:t xml:space="preserve"> </w:t>
      </w:r>
      <w:r w:rsidRPr="00481F36">
        <w:t>s 4. Th</w:t>
      </w:r>
      <w:r w:rsidRPr="00FD274F">
        <w:t>e authority provision should cite the full name of each piece of enabling legislation, and also the enabling provision unless the instrument is made under a general instrument</w:t>
      </w:r>
      <w:r>
        <w:noBreakHyphen/>
      </w:r>
      <w:r w:rsidRPr="00FD274F">
        <w:t>making power.</w:t>
      </w:r>
    </w:p>
    <w:p w14:paraId="0EDE6670" w14:textId="77777777" w:rsidR="00E86304" w:rsidRPr="00FD274F" w:rsidRDefault="00E86304" w:rsidP="00E86304">
      <w:pPr>
        <w:pStyle w:val="BodyPara"/>
      </w:pPr>
      <w:r w:rsidRPr="00FD274F">
        <w:rPr>
          <w:b/>
        </w:rPr>
        <w:t>Definitions.</w:t>
      </w:r>
      <w:r w:rsidRPr="00FD274F">
        <w:t xml:space="preserve"> Any definitions should generally be presented together </w:t>
      </w:r>
      <w:r>
        <w:t>at the start of the instrument</w:t>
      </w:r>
      <w:r w:rsidRPr="00FD274F">
        <w:t xml:space="preserve"> wherever possible. If an expression is already defined </w:t>
      </w:r>
      <w:r>
        <w:t xml:space="preserve">for the purposes of the whole of </w:t>
      </w:r>
      <w:r w:rsidRPr="00FD274F">
        <w:t>an instrument’s enabling legislation, it is useful to note this but the definition should not be duplicated. An expression used in an instrument will generally have the same meaning as in its enabling legislation</w:t>
      </w:r>
      <w:r w:rsidRPr="00481F36">
        <w:t xml:space="preserve"> </w:t>
      </w:r>
      <w:r>
        <w:t>(</w:t>
      </w:r>
      <w:hyperlink r:id="rId147" w:history="1">
        <w:r w:rsidRPr="00481F36">
          <w:rPr>
            <w:rStyle w:val="Hyperlink"/>
          </w:rPr>
          <w:t>LA</w:t>
        </w:r>
      </w:hyperlink>
      <w:r w:rsidRPr="00481F36">
        <w:rPr>
          <w:rStyle w:val="Hyperlink"/>
        </w:rPr>
        <w:t xml:space="preserve"> </w:t>
      </w:r>
      <w:r w:rsidRPr="00481F36">
        <w:t>s 13(1)(b)</w:t>
      </w:r>
      <w:r>
        <w:t>)</w:t>
      </w:r>
      <w:r w:rsidRPr="00481F36">
        <w:t>.</w:t>
      </w:r>
      <w:r>
        <w:t xml:space="preserve"> However, this will generally apply only if the definition applies for the purposes of the entire enabling legislation, and not just a part of the enabling legislation.</w:t>
      </w:r>
    </w:p>
    <w:p w14:paraId="050C8C57" w14:textId="77777777" w:rsidR="00E86304" w:rsidRPr="00FD274F" w:rsidRDefault="00E86304" w:rsidP="00E86304">
      <w:pPr>
        <w:pStyle w:val="BodyNum"/>
      </w:pPr>
      <w:bookmarkStart w:id="37" w:name="_Ref422844015"/>
      <w:r w:rsidRPr="00FD274F">
        <w:t>Each provision in the main body of the instrument and in any Schedules should be referred to and numbered in an orderly way. This ensures that the provisions of an instrument can be referred to readily and amended with certainty, and compilations can be prepared of the instrument as amende</w:t>
      </w:r>
      <w:r w:rsidRPr="00A15B35">
        <w:t xml:space="preserve">d (see </w:t>
      </w:r>
      <w:r>
        <w:t>the Compilations Handbook</w:t>
      </w:r>
      <w:r w:rsidRPr="00A15B35">
        <w:t>). For c</w:t>
      </w:r>
      <w:r w:rsidRPr="00FD274F">
        <w:t xml:space="preserve">onsistency with the rest of the Commonwealth statute book, </w:t>
      </w:r>
      <w:r>
        <w:t>the person drafting the instrument</w:t>
      </w:r>
      <w:r w:rsidRPr="00FD274F">
        <w:t xml:space="preserve"> should:</w:t>
      </w:r>
      <w:bookmarkEnd w:id="37"/>
    </w:p>
    <w:p w14:paraId="4D709B2E" w14:textId="77777777" w:rsidR="00E86304" w:rsidRPr="00FD274F" w:rsidRDefault="00E86304" w:rsidP="00E86304">
      <w:pPr>
        <w:pStyle w:val="BodyPara"/>
        <w:rPr>
          <w:spacing w:val="-2"/>
        </w:rPr>
      </w:pPr>
      <w:r w:rsidRPr="00FD274F">
        <w:rPr>
          <w:spacing w:val="-2"/>
        </w:rPr>
        <w:t>use Arabic numerals (e.g. 1, 2, 3) for all headings, sections and subsections; and</w:t>
      </w:r>
    </w:p>
    <w:p w14:paraId="73FE08AD" w14:textId="77777777" w:rsidR="00E86304" w:rsidRPr="00FD274F" w:rsidRDefault="00E86304" w:rsidP="00E86304">
      <w:pPr>
        <w:pStyle w:val="BodyPara"/>
      </w:pPr>
      <w:r w:rsidRPr="00FD274F">
        <w:t>use letters (e.g. (a) and (b)) for paragraphs; and</w:t>
      </w:r>
    </w:p>
    <w:p w14:paraId="739FD44C" w14:textId="77777777" w:rsidR="00E86304" w:rsidRPr="00FD274F" w:rsidRDefault="00E86304" w:rsidP="00E86304">
      <w:pPr>
        <w:pStyle w:val="BodyPara"/>
      </w:pPr>
      <w:r w:rsidRPr="00FD274F">
        <w:lastRenderedPageBreak/>
        <w:t>if inserting a new section/s (e.g. after section 25), use capital letters after the numeral to indicate the sequence of sections (e.g. section 25A, 25B etc.); and</w:t>
      </w:r>
    </w:p>
    <w:p w14:paraId="55A066C3" w14:textId="77777777" w:rsidR="00E86304" w:rsidRPr="00FD274F" w:rsidRDefault="00E86304" w:rsidP="00E86304">
      <w:pPr>
        <w:pStyle w:val="BodyPara"/>
        <w:rPr>
          <w:spacing w:val="-2"/>
        </w:rPr>
      </w:pPr>
      <w:r w:rsidRPr="00FD274F">
        <w:rPr>
          <w:spacing w:val="-2"/>
        </w:rPr>
        <w:t>if many new sections have been/are to be inserted, skip the letters “I” and “O” after numerals to avoid confusion e.g. between 25I and 251, and 25O and 250; and</w:t>
      </w:r>
    </w:p>
    <w:p w14:paraId="05932A20" w14:textId="77777777" w:rsidR="00E86304" w:rsidRPr="00FD274F" w:rsidRDefault="00E86304" w:rsidP="00E86304">
      <w:pPr>
        <w:pStyle w:val="BodyPara"/>
      </w:pPr>
      <w:r w:rsidRPr="00FD274F">
        <w:t>avoid using capitalised Roman numerals (e.g. I, II, III), unless inserting provisions into an existing instrum</w:t>
      </w:r>
      <w:r>
        <w:t>ent that already uses them; and</w:t>
      </w:r>
    </w:p>
    <w:p w14:paraId="79C3B496" w14:textId="77777777" w:rsidR="00E86304" w:rsidRPr="00FD274F" w:rsidRDefault="00E86304" w:rsidP="00E86304">
      <w:pPr>
        <w:pStyle w:val="BodyPara"/>
      </w:pPr>
      <w:r w:rsidRPr="00FD274F">
        <w:t>avoid “tidying up” legislation by renumbering it, without carefully considering the risks (especially if there are cross</w:t>
      </w:r>
      <w:r>
        <w:noBreakHyphen/>
      </w:r>
      <w:r w:rsidRPr="00FD274F">
        <w:t>references in related documents).</w:t>
      </w:r>
    </w:p>
    <w:p w14:paraId="63F3C9B6" w14:textId="77777777" w:rsidR="00E86304" w:rsidRPr="0023124E" w:rsidRDefault="00E86304" w:rsidP="00E86304">
      <w:pPr>
        <w:pStyle w:val="BodyNum"/>
      </w:pPr>
      <w:r w:rsidRPr="00FD274F">
        <w:t xml:space="preserve">For detailed guidance on the numbering of provisions, and the risks involved in renumbering provisions, please refer </w:t>
      </w:r>
      <w:r w:rsidRPr="0023124E">
        <w:t xml:space="preserve">to </w:t>
      </w:r>
      <w:hyperlink r:id="rId148" w:history="1">
        <w:proofErr w:type="spellStart"/>
        <w:r w:rsidRPr="0023124E">
          <w:rPr>
            <w:rStyle w:val="Hyperlink"/>
          </w:rPr>
          <w:t>OPC</w:t>
        </w:r>
        <w:proofErr w:type="spellEnd"/>
        <w:r w:rsidRPr="0023124E">
          <w:rPr>
            <w:rStyle w:val="Hyperlink"/>
          </w:rPr>
          <w:t xml:space="preserve"> Drafting Direction 1.7</w:t>
        </w:r>
      </w:hyperlink>
      <w:r w:rsidRPr="0023124E">
        <w:t>.</w:t>
      </w:r>
    </w:p>
    <w:p w14:paraId="1A8E48A0" w14:textId="77777777" w:rsidR="00E86304" w:rsidRDefault="00E86304" w:rsidP="00E86304">
      <w:pPr>
        <w:pStyle w:val="Body"/>
        <w:pageBreakBefore/>
        <w:rPr>
          <w:b/>
        </w:rPr>
      </w:pPr>
      <w:r w:rsidRPr="00FD274F">
        <w:rPr>
          <w:b/>
        </w:rPr>
        <w:lastRenderedPageBreak/>
        <w:t>Illu</w:t>
      </w:r>
      <w:r w:rsidRPr="00A15B35">
        <w:rPr>
          <w:b/>
        </w:rPr>
        <w:t>stration 3B—s</w:t>
      </w:r>
      <w:r w:rsidRPr="00FD274F">
        <w:rPr>
          <w:b/>
        </w:rPr>
        <w:t>tandard order and format of provis</w:t>
      </w:r>
      <w:r>
        <w:rPr>
          <w:b/>
        </w:rPr>
        <w:t>ions in main body of instrument</w:t>
      </w:r>
    </w:p>
    <w:p w14:paraId="5F84DF1D" w14:textId="77777777" w:rsidR="00E86304" w:rsidRPr="00FD274F" w:rsidRDefault="00E86304" w:rsidP="00E86304">
      <w:pPr>
        <w:pStyle w:val="Body"/>
        <w:jc w:val="center"/>
        <w:rPr>
          <w:b/>
        </w:rPr>
      </w:pPr>
      <w:r>
        <w:rPr>
          <w:noProof/>
        </w:rPr>
        <w:drawing>
          <wp:inline distT="0" distB="0" distL="0" distR="0" wp14:anchorId="0BEA1F7C" wp14:editId="2FC69710">
            <wp:extent cx="4777200" cy="7920000"/>
            <wp:effectExtent l="19050" t="19050" r="23495" b="24130"/>
            <wp:docPr id="8" name="Picture 8" descr="Template showing sections 1 to 5 with wording that is consistently used and brackets with descriptions of text to be customis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9"/>
                    <a:stretch>
                      <a:fillRect/>
                    </a:stretch>
                  </pic:blipFill>
                  <pic:spPr>
                    <a:xfrm>
                      <a:off x="0" y="0"/>
                      <a:ext cx="4777200" cy="7920000"/>
                    </a:xfrm>
                    <a:prstGeom prst="rect">
                      <a:avLst/>
                    </a:prstGeom>
                    <a:ln>
                      <a:solidFill>
                        <a:schemeClr val="tx1"/>
                      </a:solidFill>
                    </a:ln>
                  </pic:spPr>
                </pic:pic>
              </a:graphicData>
            </a:graphic>
          </wp:inline>
        </w:drawing>
      </w:r>
    </w:p>
    <w:p w14:paraId="07705632" w14:textId="77777777" w:rsidR="00E86304" w:rsidRPr="002600D1" w:rsidRDefault="00E86304" w:rsidP="00E86304">
      <w:pPr>
        <w:pStyle w:val="BodyNum"/>
      </w:pPr>
      <w:r>
        <w:lastRenderedPageBreak/>
        <w:t>If different provisions of the instrument commence at different times, additional rows can be added to the commencement table</w:t>
      </w:r>
      <w:r w:rsidRPr="0091228E">
        <w:rPr>
          <w:szCs w:val="24"/>
        </w:rPr>
        <w:t xml:space="preserve"> </w:t>
      </w:r>
      <w:r w:rsidRPr="00A15B35">
        <w:t>(see Illustration 3C)</w:t>
      </w:r>
      <w:r w:rsidRPr="00A15B35">
        <w:rPr>
          <w:szCs w:val="24"/>
        </w:rPr>
        <w:t>.</w:t>
      </w:r>
    </w:p>
    <w:p w14:paraId="7BA77CE6" w14:textId="77777777" w:rsidR="00E86304" w:rsidRDefault="00E86304" w:rsidP="00E86304">
      <w:pPr>
        <w:pStyle w:val="Body"/>
        <w:rPr>
          <w:b/>
        </w:rPr>
      </w:pPr>
      <w:r w:rsidRPr="00FD274F">
        <w:rPr>
          <w:b/>
        </w:rPr>
        <w:t>Illustration 3</w:t>
      </w:r>
      <w:r>
        <w:rPr>
          <w:b/>
        </w:rPr>
        <w:t>C</w:t>
      </w:r>
      <w:r w:rsidRPr="00FD274F">
        <w:rPr>
          <w:b/>
        </w:rPr>
        <w:t>—</w:t>
      </w:r>
      <w:r>
        <w:rPr>
          <w:b/>
        </w:rPr>
        <w:t>commencement table with multiple commencement dates</w:t>
      </w:r>
    </w:p>
    <w:p w14:paraId="636F815C" w14:textId="77777777" w:rsidR="00E86304" w:rsidRPr="00FD274F" w:rsidRDefault="00E86304" w:rsidP="00E86304">
      <w:pPr>
        <w:pStyle w:val="Body"/>
        <w:jc w:val="center"/>
        <w:rPr>
          <w:b/>
        </w:rPr>
      </w:pPr>
      <w:r>
        <w:rPr>
          <w:noProof/>
        </w:rPr>
        <w:drawing>
          <wp:inline distT="0" distB="0" distL="0" distR="0" wp14:anchorId="709E116F" wp14:editId="7B0FBA3E">
            <wp:extent cx="5666667" cy="4819048"/>
            <wp:effectExtent l="19050" t="19050" r="10795" b="19685"/>
            <wp:docPr id="6" name="Picture 6" descr="Template showing a section 2 commencement table formatted with multiple rows for multiple commencement d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0"/>
                    <a:stretch>
                      <a:fillRect/>
                    </a:stretch>
                  </pic:blipFill>
                  <pic:spPr>
                    <a:xfrm>
                      <a:off x="0" y="0"/>
                      <a:ext cx="5666667" cy="4819048"/>
                    </a:xfrm>
                    <a:prstGeom prst="rect">
                      <a:avLst/>
                    </a:prstGeom>
                    <a:ln>
                      <a:solidFill>
                        <a:schemeClr val="tx1"/>
                      </a:solidFill>
                    </a:ln>
                  </pic:spPr>
                </pic:pic>
              </a:graphicData>
            </a:graphic>
          </wp:inline>
        </w:drawing>
      </w:r>
    </w:p>
    <w:p w14:paraId="47C27F5D" w14:textId="77777777" w:rsidR="00E86304" w:rsidRPr="00FD274F" w:rsidRDefault="00E86304" w:rsidP="00E86304">
      <w:pPr>
        <w:pStyle w:val="Head4"/>
      </w:pPr>
      <w:r w:rsidRPr="00FD274F">
        <w:t>Use of other approaches</w:t>
      </w:r>
    </w:p>
    <w:p w14:paraId="0B9CDD91" w14:textId="77777777" w:rsidR="00E86304" w:rsidRPr="00FD274F" w:rsidRDefault="00E86304" w:rsidP="00E86304">
      <w:pPr>
        <w:pStyle w:val="BodyNum"/>
      </w:pPr>
      <w:r>
        <w:t>The person drafting the instrument is</w:t>
      </w:r>
      <w:r w:rsidRPr="00FD274F">
        <w:t xml:space="preserve"> sometimes asked to omit standard provisions or numbering, or to include images or other content that is not legally necessary. Although this approach may make an instrument “look nice”, it can also make it difficult to apply amendments and, in extreme cases, to enforce an instrument. Consequently, if a rule</w:t>
      </w:r>
      <w:r>
        <w:noBreakHyphen/>
      </w:r>
      <w:r w:rsidRPr="00FD274F">
        <w:t>maker wishes to proceed with a non</w:t>
      </w:r>
      <w:r>
        <w:noBreakHyphen/>
      </w:r>
      <w:r w:rsidRPr="00FD274F">
        <w:t>standard approach, agencies are advised to ensure that the rule</w:t>
      </w:r>
      <w:r>
        <w:noBreakHyphen/>
      </w:r>
      <w:r w:rsidRPr="00FD274F">
        <w:t>maker:</w:t>
      </w:r>
    </w:p>
    <w:p w14:paraId="1BECC1CB" w14:textId="77777777" w:rsidR="00E86304" w:rsidRPr="00FD274F" w:rsidRDefault="00E86304" w:rsidP="00E86304">
      <w:pPr>
        <w:pStyle w:val="BodyPara"/>
      </w:pPr>
      <w:r w:rsidRPr="00FD274F">
        <w:t>is awa</w:t>
      </w:r>
      <w:r>
        <w:t>re of the associated risks; and</w:t>
      </w:r>
    </w:p>
    <w:p w14:paraId="64D35279" w14:textId="77777777" w:rsidR="00E86304" w:rsidRPr="00FD274F" w:rsidRDefault="00E86304" w:rsidP="00E86304">
      <w:pPr>
        <w:pStyle w:val="BodyPara"/>
      </w:pPr>
      <w:r w:rsidRPr="00FD274F">
        <w:t>includes non</w:t>
      </w:r>
      <w:r>
        <w:noBreakHyphen/>
      </w:r>
      <w:r w:rsidRPr="00FD274F">
        <w:t>standa</w:t>
      </w:r>
      <w:r>
        <w:t>rd content as an attachment or S</w:t>
      </w:r>
      <w:r w:rsidRPr="00FD274F">
        <w:t>chedule to a short instrument that fo</w:t>
      </w:r>
      <w:r>
        <w:t>llows the recommended approach.</w:t>
      </w:r>
    </w:p>
    <w:p w14:paraId="1A0FE1F9" w14:textId="77777777" w:rsidR="00E86304" w:rsidRPr="00FD274F" w:rsidRDefault="00E86304" w:rsidP="00E86304">
      <w:pPr>
        <w:pStyle w:val="BodyNum"/>
      </w:pPr>
      <w:r w:rsidRPr="00FD274F">
        <w:lastRenderedPageBreak/>
        <w:t>Even a very short instrument should include the enabling legislation and making words appropriate to that legislation in the text of the instrument. These details are important to establish whether the in</w:t>
      </w:r>
      <w:r>
        <w:t>strument has been validly made.</w:t>
      </w:r>
    </w:p>
    <w:p w14:paraId="6E5CC427" w14:textId="77777777" w:rsidR="00E86304" w:rsidRPr="00FD274F" w:rsidRDefault="00E86304" w:rsidP="00E86304">
      <w:pPr>
        <w:pStyle w:val="Head3"/>
      </w:pPr>
      <w:bookmarkStart w:id="38" w:name="_Toc238117536"/>
      <w:r w:rsidRPr="00FD274F">
        <w:t>Default rules on commencement of instrument or provision</w:t>
      </w:r>
      <w:bookmarkEnd w:id="38"/>
    </w:p>
    <w:p w14:paraId="77DDFCEF" w14:textId="77777777" w:rsidR="00E86304" w:rsidRDefault="00E86304" w:rsidP="00E86304">
      <w:pPr>
        <w:pStyle w:val="BodyNum"/>
      </w:pPr>
      <w:bookmarkStart w:id="39" w:name="_Ref367446165"/>
      <w:r w:rsidRPr="00FD274F">
        <w:t>In exercising the power to make a legislative instrument, the rule</w:t>
      </w:r>
      <w:r>
        <w:noBreakHyphen/>
      </w:r>
      <w:r w:rsidRPr="00FD274F">
        <w:t>maker should always specify when the instrument, or each provision of the instrument, commences. In doing so, the rule</w:t>
      </w:r>
      <w:r>
        <w:noBreakHyphen/>
      </w:r>
      <w:r w:rsidRPr="00FD274F">
        <w:t xml:space="preserve">maker must have regard to any special provisions in the instrument’s enabling legislation, and the default provisions of the </w:t>
      </w:r>
      <w:hyperlink r:id="rId151" w:history="1">
        <w:r w:rsidRPr="00FD274F">
          <w:rPr>
            <w:rStyle w:val="Hyperlink"/>
          </w:rPr>
          <w:t>LA</w:t>
        </w:r>
      </w:hyperlink>
      <w:r w:rsidRPr="00FD274F">
        <w:rPr>
          <w:rStyle w:val="Hyperlink"/>
        </w:rPr>
        <w:t xml:space="preserve"> </w:t>
      </w:r>
      <w:r w:rsidRPr="00DE3286">
        <w:t>(particularly s 12).</w:t>
      </w:r>
      <w:bookmarkEnd w:id="39"/>
    </w:p>
    <w:p w14:paraId="1A3D44E7" w14:textId="77777777" w:rsidR="00E86304" w:rsidRDefault="00E86304" w:rsidP="00E86304">
      <w:pPr>
        <w:pStyle w:val="BodyNum"/>
      </w:pPr>
      <w:r>
        <w:t>To clearly indicate commencement, the word “commences” should be used rather than wording such as “takes effect on”, “is valid from” or “has effect for a specified period”, u</w:t>
      </w:r>
      <w:r w:rsidRPr="00FD274F">
        <w:t xml:space="preserve">nless a specific term is required by the </w:t>
      </w:r>
      <w:r>
        <w:t xml:space="preserve">authorising </w:t>
      </w:r>
      <w:r w:rsidRPr="00FD274F">
        <w:t>legislation</w:t>
      </w:r>
      <w:r>
        <w:t>.</w:t>
      </w:r>
    </w:p>
    <w:p w14:paraId="3B8910EF" w14:textId="77777777" w:rsidR="00E86304" w:rsidRPr="00FD274F" w:rsidRDefault="00E86304" w:rsidP="00E86304">
      <w:pPr>
        <w:pStyle w:val="BodyNum"/>
      </w:pPr>
      <w:r w:rsidRPr="00FD274F">
        <w:t xml:space="preserve">An instrument may provide for its commencement by enabling a commencement instrument to be made </w:t>
      </w:r>
      <w:r>
        <w:t>(</w:t>
      </w:r>
      <w:hyperlink r:id="rId152" w:history="1">
        <w:r w:rsidRPr="00DE3286">
          <w:rPr>
            <w:rStyle w:val="Hyperlink"/>
          </w:rPr>
          <w:t>LA</w:t>
        </w:r>
      </w:hyperlink>
      <w:r w:rsidRPr="00DE3286">
        <w:t xml:space="preserve"> s 12(5)</w:t>
      </w:r>
      <w:r>
        <w:t>)</w:t>
      </w:r>
      <w:r w:rsidRPr="00DE3286">
        <w:t>.</w:t>
      </w:r>
      <w:r w:rsidRPr="00FD274F">
        <w:t xml:space="preserve"> Alternatively, an instrument or provision of an instrument may be expressed as commencing as follows:</w:t>
      </w:r>
    </w:p>
    <w:p w14:paraId="145B7173" w14:textId="77777777" w:rsidR="00E86304" w:rsidRPr="00FD274F" w:rsidRDefault="00E86304" w:rsidP="00E86304">
      <w:pPr>
        <w:pStyle w:val="BodyPara"/>
      </w:pPr>
      <w:r w:rsidRPr="00FD274F">
        <w:t xml:space="preserve">on a specified day—if no time is specified, the commencement will occur at the start of the </w:t>
      </w:r>
      <w:r>
        <w:t xml:space="preserve">specified </w:t>
      </w:r>
      <w:r w:rsidRPr="00FD274F">
        <w:t xml:space="preserve">day </w:t>
      </w:r>
      <w:r>
        <w:t>(</w:t>
      </w:r>
      <w:hyperlink r:id="rId153" w:history="1">
        <w:r w:rsidRPr="00414F6F">
          <w:rPr>
            <w:rStyle w:val="Hyperlink"/>
            <w:i/>
          </w:rPr>
          <w:t>Acts Interpretation Act 1901</w:t>
        </w:r>
      </w:hyperlink>
      <w:r w:rsidRPr="00414F6F">
        <w:rPr>
          <w:rStyle w:val="Hyperlink"/>
          <w:i/>
        </w:rPr>
        <w:t xml:space="preserve"> </w:t>
      </w:r>
      <w:r w:rsidRPr="00414F6F">
        <w:t>s 3);</w:t>
      </w:r>
    </w:p>
    <w:p w14:paraId="131C0D57" w14:textId="77777777" w:rsidR="00E86304" w:rsidRPr="00FD274F" w:rsidRDefault="00E86304" w:rsidP="00E86304">
      <w:pPr>
        <w:pStyle w:val="BodyPara"/>
      </w:pPr>
      <w:r w:rsidRPr="00FD274F">
        <w:t>on a specified day and time—if a time is specified, it may be necessary to specify a time zone;</w:t>
      </w:r>
    </w:p>
    <w:p w14:paraId="36387DCD" w14:textId="77777777" w:rsidR="00E86304" w:rsidRPr="00FD274F" w:rsidRDefault="00E86304" w:rsidP="00E86304">
      <w:pPr>
        <w:pStyle w:val="BodyPara"/>
      </w:pPr>
      <w:r w:rsidRPr="00FD274F">
        <w:t>on or after a specified event such as:</w:t>
      </w:r>
    </w:p>
    <w:p w14:paraId="303EE7FB" w14:textId="77777777" w:rsidR="00E86304" w:rsidRPr="00FD274F" w:rsidRDefault="00E86304" w:rsidP="00E86304">
      <w:pPr>
        <w:pStyle w:val="BodySubPara"/>
      </w:pPr>
      <w:r w:rsidRPr="00FD274F">
        <w:t>the instrument’s registration; or</w:t>
      </w:r>
    </w:p>
    <w:p w14:paraId="78565F19" w14:textId="77777777" w:rsidR="00E86304" w:rsidRPr="00FD274F" w:rsidRDefault="00E86304" w:rsidP="00E86304">
      <w:pPr>
        <w:pStyle w:val="BodySubPara"/>
      </w:pPr>
      <w:r w:rsidRPr="00FD274F">
        <w:t>the commencement of a Commonwealth Act or provision of an Act; or</w:t>
      </w:r>
    </w:p>
    <w:p w14:paraId="248B36E6" w14:textId="77777777" w:rsidR="00E86304" w:rsidRPr="00FD274F" w:rsidRDefault="00E86304" w:rsidP="00E86304">
      <w:pPr>
        <w:pStyle w:val="BodySubPara"/>
      </w:pPr>
      <w:r w:rsidRPr="00FD274F">
        <w:t>the commencement of a provision of a State law; or</w:t>
      </w:r>
    </w:p>
    <w:p w14:paraId="0BC5CFED" w14:textId="77777777" w:rsidR="00E86304" w:rsidRPr="00FD274F" w:rsidRDefault="00E86304" w:rsidP="00E86304">
      <w:pPr>
        <w:pStyle w:val="BodySubPara"/>
      </w:pPr>
      <w:r w:rsidRPr="00FD274F">
        <w:t>the entering into force for Australia of a treaty—this would normally be notified through a notifiable instrumen</w:t>
      </w:r>
      <w:r w:rsidRPr="00414F6F">
        <w:t>t (</w:t>
      </w:r>
      <w:hyperlink r:id="rId154" w:history="1">
        <w:hyperlink r:id="rId155" w:history="1">
          <w:hyperlink r:id="rId156" w:history="1">
            <w:r w:rsidRPr="00414F6F">
              <w:rPr>
                <w:rStyle w:val="Hyperlink"/>
              </w:rPr>
              <w:t>LEOMR</w:t>
            </w:r>
          </w:hyperlink>
        </w:hyperlink>
      </w:hyperlink>
      <w:r w:rsidRPr="00414F6F">
        <w:t xml:space="preserve"> s 8 item 1).</w:t>
      </w:r>
    </w:p>
    <w:p w14:paraId="3EC67DAE" w14:textId="77777777" w:rsidR="00E86304" w:rsidRPr="00FD274F" w:rsidRDefault="00E86304" w:rsidP="00E86304">
      <w:pPr>
        <w:pStyle w:val="BodyNum"/>
      </w:pPr>
      <w:bookmarkStart w:id="40" w:name="_Ref444692813"/>
      <w:bookmarkStart w:id="41" w:name="_Ref444869799"/>
      <w:bookmarkStart w:id="42" w:name="_Ref384384731"/>
      <w:bookmarkStart w:id="43" w:name="_Ref82670448"/>
      <w:r>
        <w:t xml:space="preserve">As a general rule it is not safe to commence an instrument when it is signed by the rule-maker for the reasons set out in </w:t>
      </w:r>
      <w:r w:rsidRPr="0020724A">
        <w:t xml:space="preserve">paragraph </w:t>
      </w:r>
      <w:r w:rsidRPr="00DE3286">
        <w:fldChar w:fldCharType="begin"/>
      </w:r>
      <w:r w:rsidRPr="0020724A">
        <w:instrText xml:space="preserve"> REF _Ref82670539 \r \h </w:instrText>
      </w:r>
      <w:r>
        <w:rPr>
          <w:highlight w:val="yellow"/>
        </w:rPr>
        <w:instrText xml:space="preserve"> \* MERGEFORMAT </w:instrText>
      </w:r>
      <w:r w:rsidRPr="00DE3286">
        <w:fldChar w:fldCharType="separate"/>
      </w:r>
      <w:r>
        <w:t>75</w:t>
      </w:r>
      <w:r w:rsidRPr="00DE3286">
        <w:fldChar w:fldCharType="end"/>
      </w:r>
      <w:r w:rsidRPr="0020724A">
        <w:t>.</w:t>
      </w:r>
    </w:p>
    <w:p w14:paraId="5FD05A18" w14:textId="77777777" w:rsidR="00E86304" w:rsidRPr="00FD274F" w:rsidRDefault="00E86304" w:rsidP="00E86304">
      <w:pPr>
        <w:pStyle w:val="BodyNum"/>
        <w:keepLines/>
      </w:pPr>
      <w:bookmarkStart w:id="44" w:name="_Ref112862478"/>
      <w:r w:rsidRPr="00FD274F">
        <w:t xml:space="preserve">Special care is needed if an instrument is to be expressed to commence retrospectively, that is, before it is registered. </w:t>
      </w:r>
      <w:bookmarkEnd w:id="40"/>
      <w:bookmarkEnd w:id="41"/>
      <w:bookmarkEnd w:id="42"/>
      <w:r w:rsidRPr="00FD274F">
        <w:t xml:space="preserve">Subject to any contrary provision in an Act, a provision of an instrument may commence retrospectively </w:t>
      </w:r>
      <w:r w:rsidRPr="00DE3286">
        <w:t>(</w:t>
      </w:r>
      <w:hyperlink r:id="rId157" w:history="1">
        <w:r w:rsidRPr="00DE3286">
          <w:rPr>
            <w:rStyle w:val="Hyperlink"/>
          </w:rPr>
          <w:t>LA</w:t>
        </w:r>
      </w:hyperlink>
      <w:r w:rsidRPr="00DE3286">
        <w:t xml:space="preserve"> s 12(1A) and (2)).</w:t>
      </w:r>
      <w:r w:rsidRPr="00FD274F">
        <w:t xml:space="preserve"> However, a provision that commences before it is registered does not apply in relation to a person (other than the Commonwealth or an authority of the Commonwealth) to the extent that as a result </w:t>
      </w:r>
      <w:r w:rsidRPr="00DE3286">
        <w:t>(</w:t>
      </w:r>
      <w:hyperlink r:id="rId158" w:history="1">
        <w:r w:rsidRPr="00DE3286">
          <w:rPr>
            <w:rStyle w:val="Hyperlink"/>
          </w:rPr>
          <w:t>LA</w:t>
        </w:r>
      </w:hyperlink>
      <w:r w:rsidRPr="00DE3286">
        <w:rPr>
          <w:rStyle w:val="Hyperlink"/>
        </w:rPr>
        <w:t xml:space="preserve"> </w:t>
      </w:r>
      <w:r w:rsidRPr="00DE3286">
        <w:t>s 12(2)):</w:t>
      </w:r>
      <w:bookmarkEnd w:id="43"/>
      <w:bookmarkEnd w:id="44"/>
    </w:p>
    <w:p w14:paraId="571D3B69" w14:textId="77777777" w:rsidR="00E86304" w:rsidRPr="00FD274F" w:rsidRDefault="00E86304" w:rsidP="00E86304">
      <w:pPr>
        <w:pStyle w:val="BodyPara"/>
      </w:pPr>
      <w:r w:rsidRPr="00FD274F">
        <w:t xml:space="preserve">the person’s rights as at </w:t>
      </w:r>
      <w:r>
        <w:t>the time the instrument is registered</w:t>
      </w:r>
      <w:r w:rsidRPr="00FD274F">
        <w:t xml:space="preserve"> would be affected so as to disadvantage the person; or</w:t>
      </w:r>
    </w:p>
    <w:p w14:paraId="177D0C2E" w14:textId="77777777" w:rsidR="00E86304" w:rsidRDefault="00E86304" w:rsidP="00E86304">
      <w:pPr>
        <w:pStyle w:val="BodyPara"/>
      </w:pPr>
      <w:r w:rsidRPr="00FD274F">
        <w:lastRenderedPageBreak/>
        <w:t xml:space="preserve">liabilities would be imposed on the person in respect of anything done or omitted to be done before </w:t>
      </w:r>
      <w:r>
        <w:t>the instrument is registered</w:t>
      </w:r>
      <w:r w:rsidRPr="00FD274F">
        <w:t>.</w:t>
      </w:r>
    </w:p>
    <w:p w14:paraId="3348FCCE" w14:textId="77777777" w:rsidR="00E86304" w:rsidRPr="006903BF" w:rsidRDefault="00E86304" w:rsidP="00E86304">
      <w:pPr>
        <w:pStyle w:val="BodyNum"/>
      </w:pPr>
      <w:bookmarkStart w:id="45" w:name="_Ref82670539"/>
      <w:r>
        <w:t xml:space="preserve">It is for this reason that legislative instruments should generally not be expressed to commence when the instrument is signed because this will be before the instrument is registered, and so the rules in </w:t>
      </w:r>
      <w:hyperlink r:id="rId159" w:history="1">
        <w:r w:rsidRPr="00DE3286">
          <w:rPr>
            <w:rStyle w:val="Hyperlink"/>
          </w:rPr>
          <w:t>LA</w:t>
        </w:r>
      </w:hyperlink>
      <w:r w:rsidRPr="00DE3286">
        <w:t xml:space="preserve"> s 12(1A) and (2)</w:t>
      </w:r>
      <w:r>
        <w:t xml:space="preserve"> will apply.</w:t>
      </w:r>
    </w:p>
    <w:bookmarkEnd w:id="45"/>
    <w:p w14:paraId="1217383D" w14:textId="77777777" w:rsidR="00E86304" w:rsidRDefault="00E86304" w:rsidP="00E86304">
      <w:pPr>
        <w:pStyle w:val="BodyNum"/>
      </w:pPr>
      <w:r>
        <w:t xml:space="preserve">Care should also be taken to avoid having regulations made under a provision in a Bill if the regulations are to be made on the same day as the Bill is to be given Royal Assent. While this can be organised, it does require careful timing to ensure that the Royal Assent is given before the regulations are made. You should raise this with the </w:t>
      </w:r>
      <w:proofErr w:type="spellStart"/>
      <w:r>
        <w:t>ExCo</w:t>
      </w:r>
      <w:proofErr w:type="spellEnd"/>
      <w:r>
        <w:t xml:space="preserve"> Secretariat if this is required.</w:t>
      </w:r>
    </w:p>
    <w:p w14:paraId="1FD547FD" w14:textId="77777777" w:rsidR="00E86304" w:rsidRDefault="00E86304" w:rsidP="00E86304">
      <w:pPr>
        <w:pStyle w:val="BodyNum"/>
      </w:pPr>
      <w:bookmarkStart w:id="46" w:name="_Ref444873872"/>
      <w:r>
        <w:t>A</w:t>
      </w:r>
      <w:r w:rsidRPr="00FD274F">
        <w:t xml:space="preserve"> legislative instrument is not enforceable unless and until it is registered as a legislative instrument </w:t>
      </w:r>
      <w:r w:rsidRPr="00E21206">
        <w:t>(</w:t>
      </w:r>
      <w:hyperlink r:id="rId160" w:history="1">
        <w:r w:rsidRPr="00E21206">
          <w:rPr>
            <w:rStyle w:val="Hyperlink"/>
          </w:rPr>
          <w:t>LA</w:t>
        </w:r>
      </w:hyperlink>
      <w:r w:rsidRPr="00E21206">
        <w:t xml:space="preserve"> s 15K(1)).</w:t>
      </w:r>
      <w:bookmarkEnd w:id="46"/>
    </w:p>
    <w:p w14:paraId="543787DB" w14:textId="77777777" w:rsidR="00E86304" w:rsidRPr="00E21206" w:rsidRDefault="00E86304" w:rsidP="00E86304">
      <w:pPr>
        <w:pStyle w:val="BodyNum"/>
      </w:pPr>
      <w:bookmarkStart w:id="47" w:name="_Ref112918881"/>
      <w:r w:rsidRPr="00FD274F">
        <w:t>Retrospectivity is an issue of concern to the Parliame</w:t>
      </w:r>
      <w:r w:rsidRPr="00B06770">
        <w:t>nt, s</w:t>
      </w:r>
      <w:r w:rsidRPr="00FD274F">
        <w:t>o if an instrument contains a retrospective provision, the instrument’s explanatory statement</w:t>
      </w:r>
      <w:r w:rsidRPr="00B06770">
        <w:t xml:space="preserve"> (see </w:t>
      </w:r>
      <w:hyperlink w:anchor="Chapter8" w:history="1">
        <w:r>
          <w:rPr>
            <w:rStyle w:val="Hyperlink"/>
          </w:rPr>
          <w:t>Chapter 7</w:t>
        </w:r>
      </w:hyperlink>
      <w:r w:rsidRPr="00B06770">
        <w:t>)</w:t>
      </w:r>
      <w:r w:rsidRPr="00FD274F">
        <w:t xml:space="preserve"> should explain why retrospective commencement is appropriate and include an assurance that it is not affected by </w:t>
      </w:r>
      <w:r w:rsidRPr="00E21206">
        <w:t xml:space="preserve">subsection 12(2) of the </w:t>
      </w:r>
      <w:hyperlink r:id="rId161" w:history="1">
        <w:r w:rsidRPr="00E21206">
          <w:rPr>
            <w:rStyle w:val="Hyperlink"/>
          </w:rPr>
          <w:t>LA</w:t>
        </w:r>
      </w:hyperlink>
      <w:r w:rsidRPr="00E21206">
        <w:t>.</w:t>
      </w:r>
      <w:r w:rsidRPr="00FD274F">
        <w:t xml:space="preserve"> Additional assurances may be required for instruments to be made by the Governor</w:t>
      </w:r>
      <w:r>
        <w:noBreakHyphen/>
      </w:r>
      <w:r w:rsidRPr="00FD274F">
        <w:t>General—please refer to the Federal Executive Council Handbook for up</w:t>
      </w:r>
      <w:r>
        <w:noBreakHyphen/>
      </w:r>
      <w:r w:rsidRPr="00FD274F">
        <w:t>to</w:t>
      </w:r>
      <w:r>
        <w:noBreakHyphen/>
      </w:r>
      <w:r w:rsidRPr="00FD274F">
        <w:t>date information on current requirement</w:t>
      </w:r>
      <w:r w:rsidRPr="00E21206">
        <w:t>s</w:t>
      </w:r>
      <w:r w:rsidRPr="00E21206">
        <w:rPr>
          <w:rStyle w:val="FootnoteReference"/>
        </w:rPr>
        <w:footnoteReference w:id="10"/>
      </w:r>
      <w:r w:rsidRPr="00E21206">
        <w:t>.</w:t>
      </w:r>
      <w:bookmarkEnd w:id="47"/>
    </w:p>
    <w:p w14:paraId="7163B951" w14:textId="77777777" w:rsidR="00E86304" w:rsidRPr="00414F6F" w:rsidRDefault="00E86304" w:rsidP="00E86304">
      <w:pPr>
        <w:pStyle w:val="BodyNum"/>
      </w:pPr>
      <w:bookmarkStart w:id="48" w:name="_Ref369624675"/>
      <w:r w:rsidRPr="00FD274F">
        <w:t xml:space="preserve">Special care is also needed if an instrument is being made under a provision of an Act that has received </w:t>
      </w:r>
      <w:r>
        <w:t>Royal Assent</w:t>
      </w:r>
      <w:r w:rsidRPr="00FD274F">
        <w:t xml:space="preserve"> but that has not yet commenced. Such an instrument cannot commence before its enabling provision, and is usually expressed as commencing at the same time as the enabling provision commences (rather than on a particular date that might change). There are also limits on what such an instrument can do: see </w:t>
      </w:r>
      <w:r w:rsidRPr="00414F6F">
        <w:t xml:space="preserve">section 4 of the </w:t>
      </w:r>
      <w:hyperlink r:id="rId162" w:history="1">
        <w:r w:rsidRPr="00414F6F">
          <w:rPr>
            <w:rStyle w:val="Hyperlink"/>
            <w:i/>
          </w:rPr>
          <w:t>Acts Interpretation Act 1901</w:t>
        </w:r>
      </w:hyperlink>
      <w:r w:rsidRPr="00414F6F">
        <w:t>.</w:t>
      </w:r>
    </w:p>
    <w:p w14:paraId="19C953AF" w14:textId="77777777" w:rsidR="00E86304" w:rsidRDefault="00E86304" w:rsidP="00E86304">
      <w:pPr>
        <w:pStyle w:val="BodyNum"/>
      </w:pPr>
      <w:r w:rsidRPr="00FD274F">
        <w:t xml:space="preserve">If there is no commencement provision, an instrument commences on the start of the day after it is registered </w:t>
      </w:r>
      <w:r w:rsidRPr="00E21206">
        <w:t>(</w:t>
      </w:r>
      <w:hyperlink r:id="rId163" w:history="1">
        <w:r w:rsidRPr="00E21206">
          <w:rPr>
            <w:rStyle w:val="Hyperlink"/>
          </w:rPr>
          <w:t>LA</w:t>
        </w:r>
      </w:hyperlink>
      <w:r w:rsidRPr="00E21206">
        <w:t xml:space="preserve"> s 12(1)(a)).</w:t>
      </w:r>
      <w:bookmarkEnd w:id="48"/>
      <w:r w:rsidRPr="00FD274F">
        <w:t xml:space="preserve"> </w:t>
      </w:r>
      <w:proofErr w:type="spellStart"/>
      <w:r w:rsidRPr="00FD274F">
        <w:t>OPC’s</w:t>
      </w:r>
      <w:proofErr w:type="spellEnd"/>
      <w:r w:rsidRPr="00FD274F">
        <w:t xml:space="preserve"> practice when drafting is to always specify when an instrument commences in a separate provision to ensure this is clear.</w:t>
      </w:r>
    </w:p>
    <w:p w14:paraId="5B9C32C5" w14:textId="77777777" w:rsidR="00E86304" w:rsidRPr="00FD274F" w:rsidRDefault="00E86304" w:rsidP="00E86304">
      <w:pPr>
        <w:pStyle w:val="BodyNum"/>
      </w:pPr>
      <w:bookmarkStart w:id="49" w:name="_Ref386036642"/>
      <w:r w:rsidRPr="00FD274F">
        <w:t xml:space="preserve">For further guidance and advice on commencement issues, please contact </w:t>
      </w:r>
      <w:hyperlink r:id="rId164" w:history="1">
        <w:proofErr w:type="spellStart"/>
        <w:r w:rsidRPr="00E12592">
          <w:rPr>
            <w:rStyle w:val="Hyperlink"/>
            <w:spacing w:val="-2"/>
          </w:rPr>
          <w:t>OPC’s</w:t>
        </w:r>
        <w:proofErr w:type="spellEnd"/>
        <w:r w:rsidRPr="00E12592">
          <w:rPr>
            <w:rStyle w:val="Hyperlink"/>
            <w:spacing w:val="-2"/>
          </w:rPr>
          <w:t xml:space="preserve"> instrument client advisers</w:t>
        </w:r>
      </w:hyperlink>
      <w:r>
        <w:rPr>
          <w:spacing w:val="-2"/>
        </w:rPr>
        <w:t xml:space="preserve">, </w:t>
      </w:r>
      <w:r w:rsidRPr="00FD274F">
        <w:t>preferably before an instrument is made.</w:t>
      </w:r>
      <w:bookmarkEnd w:id="49"/>
    </w:p>
    <w:p w14:paraId="12549360" w14:textId="77777777" w:rsidR="00E86304" w:rsidRPr="00FD274F" w:rsidRDefault="00E86304" w:rsidP="00E86304">
      <w:pPr>
        <w:pStyle w:val="Head3"/>
      </w:pPr>
      <w:bookmarkStart w:id="50" w:name="_Toc238117537"/>
      <w:r w:rsidRPr="00FD274F">
        <w:t>Default rules on amendment or repeal</w:t>
      </w:r>
      <w:bookmarkEnd w:id="50"/>
    </w:p>
    <w:p w14:paraId="51A67B41" w14:textId="77777777" w:rsidR="00E86304" w:rsidRPr="00FD274F" w:rsidRDefault="00E86304" w:rsidP="00E86304">
      <w:pPr>
        <w:pStyle w:val="BodyNum"/>
      </w:pPr>
      <w:bookmarkStart w:id="51" w:name="_Ref384376054"/>
      <w:r w:rsidRPr="00FD274F">
        <w:t xml:space="preserve">The general consequences of amending or repealing a legislative instrument, or a provision of a legislative instrument, are set out in </w:t>
      </w:r>
      <w:r w:rsidRPr="00414F6F">
        <w:t xml:space="preserve">section 7 of the </w:t>
      </w:r>
      <w:hyperlink r:id="rId165" w:history="1">
        <w:hyperlink r:id="rId166" w:history="1">
          <w:r w:rsidRPr="00414F6F">
            <w:rPr>
              <w:rStyle w:val="Hyperlink"/>
              <w:i/>
            </w:rPr>
            <w:t>Acts Interpretation Act 1901</w:t>
          </w:r>
        </w:hyperlink>
      </w:hyperlink>
      <w:r w:rsidRPr="00FD274F">
        <w:rPr>
          <w:rStyle w:val="Hyperlink"/>
          <w:i/>
        </w:rPr>
        <w:t xml:space="preserve"> </w:t>
      </w:r>
      <w:r w:rsidRPr="00FD274F">
        <w:t xml:space="preserve">as applied by </w:t>
      </w:r>
      <w:r w:rsidRPr="00E21206">
        <w:t xml:space="preserve">paragraph 13(1)(a) of the </w:t>
      </w:r>
      <w:hyperlink r:id="rId167" w:history="1">
        <w:r w:rsidRPr="00E21206">
          <w:rPr>
            <w:rStyle w:val="Hyperlink"/>
          </w:rPr>
          <w:t>LA</w:t>
        </w:r>
      </w:hyperlink>
      <w:r w:rsidRPr="00E21206">
        <w:t>.</w:t>
      </w:r>
      <w:r w:rsidRPr="00FD274F">
        <w:t xml:space="preserve"> Subject to a contrary intention in an instrument or Act, the amendment or repeal of an instrument does not, among other things:</w:t>
      </w:r>
    </w:p>
    <w:p w14:paraId="7AD33AFC" w14:textId="77777777" w:rsidR="00E86304" w:rsidRPr="00FD274F" w:rsidRDefault="00E86304" w:rsidP="00E86304">
      <w:pPr>
        <w:pStyle w:val="BodyPara"/>
      </w:pPr>
      <w:r w:rsidRPr="00FD274F">
        <w:t>revive an instrument or provision repealed by the first instrument or provision unless express provision is made for the revival; or</w:t>
      </w:r>
    </w:p>
    <w:p w14:paraId="148AD59A" w14:textId="77777777" w:rsidR="00E86304" w:rsidRPr="00FD274F" w:rsidRDefault="00E86304" w:rsidP="00E86304">
      <w:pPr>
        <w:pStyle w:val="BodyPara"/>
      </w:pPr>
      <w:r w:rsidRPr="00FD274F">
        <w:lastRenderedPageBreak/>
        <w:t>revive anything else not in force or existing when the repeal or amendment takes effect (unless express provision is and can be made for the revival); or</w:t>
      </w:r>
    </w:p>
    <w:p w14:paraId="2D3138C2" w14:textId="77777777" w:rsidR="00E86304" w:rsidRPr="00FD274F" w:rsidRDefault="00E86304" w:rsidP="00E86304">
      <w:pPr>
        <w:pStyle w:val="BodyPara"/>
      </w:pPr>
      <w:r w:rsidRPr="00FD274F">
        <w:t>affect the previous operation of (including any amendment made by), or anything done under, the instrument or provision; or</w:t>
      </w:r>
    </w:p>
    <w:p w14:paraId="545B2CB6" w14:textId="77777777" w:rsidR="00E86304" w:rsidRPr="00FD274F" w:rsidRDefault="00E86304" w:rsidP="00E86304">
      <w:pPr>
        <w:pStyle w:val="BodyPara"/>
      </w:pPr>
      <w:r w:rsidRPr="00FD274F">
        <w:t>affect any right, privilege, obligation or liability acquired, accrued or incurred under the instrument or provision; or</w:t>
      </w:r>
    </w:p>
    <w:p w14:paraId="48CF31D6" w14:textId="77777777" w:rsidR="00E86304" w:rsidRPr="00FD274F" w:rsidRDefault="00E86304" w:rsidP="00E86304">
      <w:pPr>
        <w:pStyle w:val="BodyPara"/>
      </w:pPr>
      <w:r w:rsidRPr="00FD274F">
        <w:t xml:space="preserve">affect any penalty, forfeiture or punishment incurred in respect of an offence committed against </w:t>
      </w:r>
      <w:r>
        <w:t>the instrument or provision; or</w:t>
      </w:r>
    </w:p>
    <w:p w14:paraId="4FB7B1E9" w14:textId="77777777" w:rsidR="00E86304" w:rsidRPr="00FD274F" w:rsidRDefault="00E86304" w:rsidP="00E86304">
      <w:pPr>
        <w:pStyle w:val="BodyPara"/>
      </w:pPr>
      <w:r w:rsidRPr="00FD274F">
        <w:t>affect any associated investigation, legal proceeding or remedy.</w:t>
      </w:r>
    </w:p>
    <w:p w14:paraId="5531294F" w14:textId="77777777" w:rsidR="00E86304" w:rsidRPr="00FD274F" w:rsidRDefault="00E86304" w:rsidP="00E86304">
      <w:pPr>
        <w:pStyle w:val="BodyNum"/>
      </w:pPr>
      <w:r w:rsidRPr="00FD274F">
        <w:t xml:space="preserve">Under </w:t>
      </w:r>
      <w:r w:rsidRPr="005735D0">
        <w:t xml:space="preserve">the </w:t>
      </w:r>
      <w:hyperlink r:id="rId168" w:history="1">
        <w:r w:rsidRPr="005735D0">
          <w:rPr>
            <w:rStyle w:val="Hyperlink"/>
          </w:rPr>
          <w:t>LA</w:t>
        </w:r>
      </w:hyperlink>
      <w:r w:rsidRPr="005735D0">
        <w:t>, a</w:t>
      </w:r>
      <w:r w:rsidRPr="00FD274F">
        <w:t xml:space="preserve">mending an instrument generally triggers a requirement for one or more compilations to be prepared (see </w:t>
      </w:r>
      <w:r>
        <w:t>the Compilations Handbook)</w:t>
      </w:r>
      <w:r w:rsidRPr="00FD274F">
        <w:t xml:space="preserve"> but does not affect any sunset date that may apply to the instrument unde</w:t>
      </w:r>
      <w:r w:rsidRPr="005735D0">
        <w:t xml:space="preserve">r Part 4 of Chapter 3 of the </w:t>
      </w:r>
      <w:hyperlink r:id="rId169" w:history="1">
        <w:r w:rsidRPr="005735D0">
          <w:rPr>
            <w:rStyle w:val="Hyperlink"/>
          </w:rPr>
          <w:t>LA</w:t>
        </w:r>
      </w:hyperlink>
      <w:r w:rsidRPr="005C17A5">
        <w:rPr>
          <w:rStyle w:val="Hyperlink"/>
        </w:rPr>
        <w:t xml:space="preserve"> </w:t>
      </w:r>
      <w:r w:rsidRPr="005C17A5">
        <w:t xml:space="preserve">(see </w:t>
      </w:r>
      <w:hyperlink w:anchor="Chapter10" w:history="1">
        <w:r w:rsidRPr="005C17A5">
          <w:rPr>
            <w:rStyle w:val="Hyperlink"/>
          </w:rPr>
          <w:t>Chapter</w:t>
        </w:r>
        <w:r>
          <w:rPr>
            <w:rStyle w:val="Hyperlink"/>
          </w:rPr>
          <w:t xml:space="preserve"> 9</w:t>
        </w:r>
      </w:hyperlink>
      <w:r w:rsidRPr="005C17A5">
        <w:t>).</w:t>
      </w:r>
      <w:r w:rsidRPr="00FD274F">
        <w:t xml:space="preserve"> Consequently, it may be better to </w:t>
      </w:r>
      <w:r>
        <w:t>repeal and replace</w:t>
      </w:r>
      <w:r w:rsidRPr="00FD274F">
        <w:t xml:space="preserve"> an instrument if it is approaching its sunset date or if extensive changes are being made to the text of the instrument.</w:t>
      </w:r>
    </w:p>
    <w:p w14:paraId="5A0AAA98" w14:textId="77777777" w:rsidR="00E86304" w:rsidRPr="00FD274F" w:rsidRDefault="00E86304" w:rsidP="00E86304">
      <w:pPr>
        <w:pStyle w:val="BodyNum"/>
      </w:pPr>
      <w:r w:rsidRPr="00FD274F">
        <w:t>If an instrument is repealed, it is not removed from the Register. The instrument remains on permanen</w:t>
      </w:r>
      <w:r>
        <w:t>t public record on the Register</w:t>
      </w:r>
      <w:r w:rsidRPr="00FD274F">
        <w:t xml:space="preserve"> but is no longer displayed as in force. Th</w:t>
      </w:r>
      <w:r w:rsidRPr="005735D0">
        <w:t xml:space="preserve">e </w:t>
      </w:r>
      <w:hyperlink r:id="rId170" w:history="1">
        <w:r w:rsidRPr="005735D0">
          <w:rPr>
            <w:rStyle w:val="Hyperlink"/>
          </w:rPr>
          <w:t>LA</w:t>
        </w:r>
      </w:hyperlink>
      <w:r w:rsidRPr="00FD274F">
        <w:t xml:space="preserve"> makes no provision for registered instruments (or parts of registered instruments) to be removed from the Register for any reason.</w:t>
      </w:r>
    </w:p>
    <w:p w14:paraId="663F5C76" w14:textId="77777777" w:rsidR="00E86304" w:rsidRPr="00FD274F" w:rsidRDefault="00E86304" w:rsidP="00E86304">
      <w:pPr>
        <w:pStyle w:val="Head4"/>
      </w:pPr>
      <w:r w:rsidRPr="00FD274F">
        <w:t>Amending and repealing instruments</w:t>
      </w:r>
    </w:p>
    <w:p w14:paraId="27CB1381" w14:textId="77777777" w:rsidR="00E86304" w:rsidRPr="00FD274F" w:rsidRDefault="00E86304" w:rsidP="00E86304">
      <w:pPr>
        <w:pStyle w:val="BodyNum"/>
      </w:pPr>
      <w:r w:rsidRPr="00FD274F">
        <w:t>A rule</w:t>
      </w:r>
      <w:r>
        <w:noBreakHyphen/>
      </w:r>
      <w:r w:rsidRPr="00FD274F">
        <w:t>maker who is authorised to make a particular type of instrument may amend or repeal any instrument of the same type that is in force.</w:t>
      </w:r>
      <w:r w:rsidRPr="00E21206">
        <w:rPr>
          <w:rStyle w:val="FootnoteReference"/>
        </w:rPr>
        <w:footnoteReference w:id="11"/>
      </w:r>
      <w:r w:rsidRPr="00FD274F">
        <w:t xml:space="preserve"> However, the rule</w:t>
      </w:r>
      <w:r>
        <w:noBreakHyphen/>
      </w:r>
      <w:r w:rsidRPr="00FD274F">
        <w:t xml:space="preserve">maker must have regard to any special provisions in the instrument’s enabling legislation and the default provisions of the </w:t>
      </w:r>
      <w:hyperlink r:id="rId171" w:history="1">
        <w:hyperlink r:id="rId172" w:history="1">
          <w:r w:rsidRPr="00414F6F">
            <w:rPr>
              <w:rStyle w:val="Hyperlink"/>
              <w:i/>
            </w:rPr>
            <w:t>Acts Interpretation Act 1901</w:t>
          </w:r>
        </w:hyperlink>
      </w:hyperlink>
      <w:r w:rsidRPr="00414F6F">
        <w:t xml:space="preserve"> an</w:t>
      </w:r>
      <w:r w:rsidRPr="00FD274F">
        <w:t>d th</w:t>
      </w:r>
      <w:r w:rsidRPr="005735D0">
        <w:t xml:space="preserve">e </w:t>
      </w:r>
      <w:hyperlink r:id="rId173" w:history="1">
        <w:r w:rsidRPr="005735D0">
          <w:rPr>
            <w:rStyle w:val="Hyperlink"/>
          </w:rPr>
          <w:t>LA</w:t>
        </w:r>
      </w:hyperlink>
      <w:r w:rsidRPr="005735D0">
        <w:t>. T</w:t>
      </w:r>
      <w:r w:rsidRPr="00FD274F">
        <w:t>he rule</w:t>
      </w:r>
      <w:r>
        <w:noBreakHyphen/>
      </w:r>
      <w:r w:rsidRPr="00FD274F">
        <w:t>maker should also:</w:t>
      </w:r>
    </w:p>
    <w:p w14:paraId="34B80046" w14:textId="77777777" w:rsidR="00E86304" w:rsidRPr="00FD274F" w:rsidRDefault="00E86304" w:rsidP="00E86304">
      <w:pPr>
        <w:pStyle w:val="BodyPara"/>
      </w:pPr>
      <w:r w:rsidRPr="00FD274F">
        <w:t>ensure that each instrument to be amended or repealed is clearly identified; and</w:t>
      </w:r>
    </w:p>
    <w:p w14:paraId="11EF510E" w14:textId="77777777" w:rsidR="00E86304" w:rsidRPr="00FD274F" w:rsidRDefault="00E86304" w:rsidP="00E86304">
      <w:pPr>
        <w:pStyle w:val="BodyPara"/>
      </w:pPr>
      <w:r w:rsidRPr="00FD274F">
        <w:t>consider whether a saving, transitional, application or self</w:t>
      </w:r>
      <w:r>
        <w:noBreakHyphen/>
      </w:r>
      <w:r w:rsidRPr="00FD274F">
        <w:t xml:space="preserve">repealing provision is needed (see </w:t>
      </w:r>
      <w:r w:rsidRPr="005C17A5">
        <w:t xml:space="preserve">also paragraphs </w:t>
      </w:r>
      <w:r w:rsidRPr="005735D0">
        <w:fldChar w:fldCharType="begin"/>
      </w:r>
      <w:r w:rsidRPr="005C17A5">
        <w:instrText xml:space="preserve"> REF _Ref384650277 \r \h  \* MERGEFORMAT </w:instrText>
      </w:r>
      <w:r w:rsidRPr="005735D0">
        <w:fldChar w:fldCharType="separate"/>
      </w:r>
      <w:r>
        <w:t>94</w:t>
      </w:r>
      <w:r w:rsidRPr="005735D0">
        <w:fldChar w:fldCharType="end"/>
      </w:r>
      <w:r w:rsidRPr="005C17A5">
        <w:t xml:space="preserve"> and </w:t>
      </w:r>
      <w:r w:rsidRPr="005735D0">
        <w:fldChar w:fldCharType="begin"/>
      </w:r>
      <w:r w:rsidRPr="005C17A5">
        <w:instrText xml:space="preserve"> REF _Ref384706703 \r \h </w:instrText>
      </w:r>
      <w:r>
        <w:rPr>
          <w:highlight w:val="yellow"/>
        </w:rPr>
        <w:instrText xml:space="preserve"> \* MERGEFORMAT </w:instrText>
      </w:r>
      <w:r w:rsidRPr="005735D0">
        <w:fldChar w:fldCharType="separate"/>
      </w:r>
      <w:r>
        <w:t>95</w:t>
      </w:r>
      <w:r w:rsidRPr="005735D0">
        <w:fldChar w:fldCharType="end"/>
      </w:r>
      <w:r w:rsidRPr="005C17A5">
        <w:t>);</w:t>
      </w:r>
      <w:r>
        <w:t xml:space="preserve"> and</w:t>
      </w:r>
    </w:p>
    <w:p w14:paraId="25052E79" w14:textId="77777777" w:rsidR="00E86304" w:rsidRPr="00FD274F" w:rsidRDefault="00E86304" w:rsidP="00E86304">
      <w:pPr>
        <w:pStyle w:val="BodyPara"/>
      </w:pPr>
      <w:r w:rsidRPr="00FD274F">
        <w:t>consider whether separate instruments are needed e.g. because only some of the instruments to be dealt with would normally be subject to disallowance.</w:t>
      </w:r>
    </w:p>
    <w:p w14:paraId="52D4AE20" w14:textId="77777777" w:rsidR="00E86304" w:rsidRPr="005735D0" w:rsidRDefault="00E86304" w:rsidP="00E86304">
      <w:pPr>
        <w:pStyle w:val="BodyNum"/>
      </w:pPr>
      <w:r w:rsidRPr="00FD274F">
        <w:t xml:space="preserve">To ensure that an amendment or repeal is effective and does not have unintended consequences, it is essential to clearly identify each instrument that is to be amended or repealed. Under </w:t>
      </w:r>
      <w:r w:rsidRPr="00DF0E7B">
        <w:t xml:space="preserve">paragraph 40(1A)(b) of the </w:t>
      </w:r>
      <w:hyperlink r:id="rId174" w:history="1">
        <w:hyperlink r:id="rId175" w:history="1">
          <w:r w:rsidRPr="00DF0E7B">
            <w:rPr>
              <w:rStyle w:val="Hyperlink"/>
              <w:i/>
            </w:rPr>
            <w:t>Acts Interpretation Act 1901</w:t>
          </w:r>
        </w:hyperlink>
      </w:hyperlink>
      <w:r w:rsidRPr="00DF0E7B">
        <w:t xml:space="preserve"> (as ap</w:t>
      </w:r>
      <w:r w:rsidRPr="00FD274F">
        <w:t xml:space="preserve">plied by </w:t>
      </w:r>
      <w:r w:rsidRPr="005735D0">
        <w:t xml:space="preserve">paragraph 13(1)(a) of the </w:t>
      </w:r>
      <w:hyperlink r:id="rId176" w:history="1">
        <w:r w:rsidRPr="005735D0">
          <w:rPr>
            <w:rStyle w:val="Hyperlink"/>
          </w:rPr>
          <w:t>LA</w:t>
        </w:r>
      </w:hyperlink>
      <w:r w:rsidRPr="005735D0">
        <w:t>), a legislative instrument may be identified by any of the following:</w:t>
      </w:r>
    </w:p>
    <w:p w14:paraId="4428D71E" w14:textId="77777777" w:rsidR="00E86304" w:rsidRPr="00FD274F" w:rsidRDefault="00E86304" w:rsidP="00E86304">
      <w:pPr>
        <w:pStyle w:val="BodyPara"/>
      </w:pPr>
      <w:r w:rsidRPr="00FD274F">
        <w:lastRenderedPageBreak/>
        <w:t>its name, if the instrument has a unique name equivalent to the short title of an Act;</w:t>
      </w:r>
    </w:p>
    <w:p w14:paraId="6DD17D67" w14:textId="77777777" w:rsidR="00E86304" w:rsidRDefault="00E86304" w:rsidP="00E86304">
      <w:pPr>
        <w:pStyle w:val="BodyPara"/>
      </w:pPr>
      <w:r>
        <w:t xml:space="preserve">a unique identifier given to the instrument in accordance with rules prescribed under </w:t>
      </w:r>
      <w:r w:rsidRPr="005735D0">
        <w:t xml:space="preserve">the </w:t>
      </w:r>
      <w:hyperlink r:id="rId177" w:history="1">
        <w:r w:rsidRPr="005735D0">
          <w:rPr>
            <w:rStyle w:val="Hyperlink"/>
          </w:rPr>
          <w:t>LA</w:t>
        </w:r>
      </w:hyperlink>
      <w:r w:rsidRPr="005735D0">
        <w:t>;</w:t>
      </w:r>
    </w:p>
    <w:p w14:paraId="18C4BAA7" w14:textId="77777777" w:rsidR="00E86304" w:rsidRDefault="00E86304" w:rsidP="00E86304">
      <w:pPr>
        <w:pStyle w:val="BodyPara"/>
      </w:pPr>
      <w:r>
        <w:t>if the instrument was numbered under a Commonwealth law—the year it was made and its number, together with a reference (if necessary) to the kind of instrument;</w:t>
      </w:r>
    </w:p>
    <w:p w14:paraId="4E39513D" w14:textId="77777777" w:rsidR="00E86304" w:rsidRDefault="00E86304" w:rsidP="00E86304">
      <w:pPr>
        <w:pStyle w:val="BodyPara"/>
      </w:pPr>
      <w:r>
        <w:t>if the instrument was notified or published in the Gazette—the date and (if necessary) number and page of the Gazette in which it was notified or published;</w:t>
      </w:r>
    </w:p>
    <w:p w14:paraId="07EE7053" w14:textId="77777777" w:rsidR="00E86304" w:rsidRPr="00FD274F" w:rsidRDefault="00E86304" w:rsidP="00E86304">
      <w:pPr>
        <w:pStyle w:val="BodyPara"/>
      </w:pPr>
      <w:r>
        <w:t>the date it was made, together with a reference to the Act or instrument, and (if necessary) provision, under which it was made.</w:t>
      </w:r>
    </w:p>
    <w:p w14:paraId="6157C77D" w14:textId="77777777" w:rsidR="00E86304" w:rsidRPr="00FD274F" w:rsidRDefault="00E86304" w:rsidP="00E86304">
      <w:pPr>
        <w:pStyle w:val="BodyNum"/>
      </w:pPr>
      <w:r w:rsidRPr="00FD274F">
        <w:t>In the case of amendments, it is important to ensure that the provisions to be amended are clearly identified to ensure the amendments have effect and a compilation can be prepared that clearly indicates the history of amendments (s</w:t>
      </w:r>
      <w:r w:rsidRPr="005C434C">
        <w:t xml:space="preserve">ee </w:t>
      </w:r>
      <w:r>
        <w:t>the Compilations Handbook</w:t>
      </w:r>
      <w:r w:rsidRPr="00FD274F">
        <w:rPr>
          <w:rStyle w:val="Hyperlink"/>
          <w:color w:val="auto"/>
        </w:rPr>
        <w:t>)</w:t>
      </w:r>
      <w:r w:rsidRPr="00FD274F">
        <w:t>. Unless a specific practice is required by the enabling legislation, it is also important:</w:t>
      </w:r>
    </w:p>
    <w:p w14:paraId="7F8CEE1B" w14:textId="77777777" w:rsidR="00E86304" w:rsidRPr="00FD274F" w:rsidRDefault="00E86304" w:rsidP="00E86304">
      <w:pPr>
        <w:pStyle w:val="BodyPara"/>
      </w:pPr>
      <w:r w:rsidRPr="00FD274F">
        <w:t xml:space="preserve">to clearly indicate that the relevant instrument is being amended, preferably by using the word “amend” for consistency with the </w:t>
      </w:r>
      <w:hyperlink r:id="rId178" w:history="1">
        <w:hyperlink r:id="rId179" w:history="1">
          <w:r w:rsidRPr="00DF0E7B">
            <w:rPr>
              <w:rStyle w:val="Hyperlink"/>
              <w:i/>
            </w:rPr>
            <w:t>Acts Interpretation Act 1901</w:t>
          </w:r>
        </w:hyperlink>
      </w:hyperlink>
      <w:r w:rsidRPr="00FD274F">
        <w:t xml:space="preserve"> and </w:t>
      </w:r>
      <w:r w:rsidRPr="0033228A">
        <w:t xml:space="preserve">the </w:t>
      </w:r>
      <w:hyperlink r:id="rId180" w:history="1">
        <w:r w:rsidRPr="0033228A">
          <w:rPr>
            <w:rStyle w:val="Hyperlink"/>
          </w:rPr>
          <w:t>LA</w:t>
        </w:r>
      </w:hyperlink>
      <w:r w:rsidRPr="0033228A">
        <w:t>;</w:t>
      </w:r>
      <w:r w:rsidRPr="00FD274F">
        <w:t xml:space="preserve"> and</w:t>
      </w:r>
    </w:p>
    <w:p w14:paraId="5C9790FF" w14:textId="77777777" w:rsidR="00E86304" w:rsidRPr="00FD274F" w:rsidRDefault="00E86304" w:rsidP="00E86304">
      <w:pPr>
        <w:pStyle w:val="BodyPara"/>
      </w:pPr>
      <w:r w:rsidRPr="00FD274F">
        <w:t>to avoid a potentially ambiguous term that may have other meanings such as modify, sup</w:t>
      </w:r>
      <w:r>
        <w:t>ersede, replace or reverse; and</w:t>
      </w:r>
    </w:p>
    <w:p w14:paraId="3DA264F9" w14:textId="77777777" w:rsidR="00E86304" w:rsidRPr="00FD274F" w:rsidRDefault="00E86304" w:rsidP="00E86304">
      <w:pPr>
        <w:pStyle w:val="BodyPara"/>
      </w:pPr>
      <w:r w:rsidRPr="00FD274F">
        <w:t xml:space="preserve">to ensure that any provisions that are inserted are numbered appropriately—for further guidance on numbering and renumbering issues, see </w:t>
      </w:r>
      <w:r w:rsidRPr="005C434C">
        <w:t xml:space="preserve">paragraph </w:t>
      </w:r>
      <w:r w:rsidRPr="0033228A">
        <w:fldChar w:fldCharType="begin"/>
      </w:r>
      <w:r w:rsidRPr="005C434C">
        <w:instrText xml:space="preserve"> REF _Ref422844015 \r \h  \* MERGEFORMAT </w:instrText>
      </w:r>
      <w:r w:rsidRPr="0033228A">
        <w:fldChar w:fldCharType="separate"/>
      </w:r>
      <w:r>
        <w:t>65</w:t>
      </w:r>
      <w:r w:rsidRPr="0033228A">
        <w:fldChar w:fldCharType="end"/>
      </w:r>
      <w:r w:rsidRPr="005C434C">
        <w:t>;</w:t>
      </w:r>
      <w:r>
        <w:t xml:space="preserve"> and</w:t>
      </w:r>
    </w:p>
    <w:p w14:paraId="1A08723C" w14:textId="77777777" w:rsidR="00E86304" w:rsidRPr="00FD274F" w:rsidRDefault="00E86304" w:rsidP="00E86304">
      <w:pPr>
        <w:pStyle w:val="BodyPara"/>
      </w:pPr>
      <w:bookmarkStart w:id="52" w:name="_Hlk183783989"/>
      <w:r w:rsidRPr="00FD274F">
        <w:t>to include any application, saving or transitional provisions relating to an amendment into the principal instrument by amendment.</w:t>
      </w:r>
    </w:p>
    <w:bookmarkEnd w:id="52"/>
    <w:p w14:paraId="5113301A" w14:textId="77777777" w:rsidR="00E86304" w:rsidRPr="00DF0E7B" w:rsidRDefault="00E86304" w:rsidP="00E86304">
      <w:pPr>
        <w:pStyle w:val="BodyNum"/>
      </w:pPr>
      <w:r w:rsidRPr="00FD274F">
        <w:t xml:space="preserve">It is </w:t>
      </w:r>
      <w:proofErr w:type="spellStart"/>
      <w:r w:rsidRPr="00FD274F">
        <w:t>OPC’s</w:t>
      </w:r>
      <w:proofErr w:type="spellEnd"/>
      <w:r w:rsidRPr="00FD274F">
        <w:t xml:space="preserve"> drafting practice to present amendments and partial repeals in one or more Schedules, and to number the Schedules so that even if there is only one Schedule, it is called “Schedule 1”. Further guidance on such matters is available in the </w:t>
      </w:r>
      <w:proofErr w:type="spellStart"/>
      <w:r w:rsidRPr="00FD274F">
        <w:t>O</w:t>
      </w:r>
      <w:r w:rsidRPr="0033228A">
        <w:t>P</w:t>
      </w:r>
      <w:r w:rsidRPr="00FD274F">
        <w:t>C</w:t>
      </w:r>
      <w:proofErr w:type="spellEnd"/>
      <w:r w:rsidRPr="00FD274F">
        <w:t xml:space="preserve"> </w:t>
      </w:r>
      <w:hyperlink r:id="rId181" w:history="1">
        <w:r w:rsidRPr="00DF0E7B">
          <w:rPr>
            <w:rStyle w:val="Hyperlink"/>
          </w:rPr>
          <w:t>Amending forms manual</w:t>
        </w:r>
      </w:hyperlink>
      <w:r w:rsidRPr="00DF0E7B">
        <w:t>.</w:t>
      </w:r>
    </w:p>
    <w:p w14:paraId="68293A26" w14:textId="77777777" w:rsidR="00E86304" w:rsidRPr="00FD274F" w:rsidRDefault="00E86304" w:rsidP="00E86304">
      <w:pPr>
        <w:pStyle w:val="BodyNum"/>
      </w:pPr>
      <w:r w:rsidRPr="00FD274F">
        <w:t>Amending an instrument does not change when it sunsets, so the date of amendment provided by the rule</w:t>
      </w:r>
      <w:r>
        <w:noBreakHyphen/>
      </w:r>
      <w:r w:rsidRPr="00FD274F">
        <w:t xml:space="preserve">maker cannot be later than any sunset date that already applies to an instrument under </w:t>
      </w:r>
      <w:r w:rsidRPr="0033228A">
        <w:t xml:space="preserve">Part 4 of Chapter 3 of the </w:t>
      </w:r>
      <w:hyperlink r:id="rId182" w:history="1">
        <w:r w:rsidRPr="0033228A">
          <w:rPr>
            <w:rStyle w:val="Hyperlink"/>
          </w:rPr>
          <w:t>LA</w:t>
        </w:r>
      </w:hyperlink>
      <w:r w:rsidRPr="0033228A">
        <w:t>. If</w:t>
      </w:r>
      <w:r w:rsidRPr="00FD274F">
        <w:t xml:space="preserve"> the sunset date is soon, there may be workload and other benefits in making a single replacement instrument that incorporates amendments. More information on sunsetting issues is provided in </w:t>
      </w:r>
      <w:hyperlink w:anchor="Chapter10" w:history="1">
        <w:r w:rsidRPr="005C434C">
          <w:rPr>
            <w:rStyle w:val="Hyperlink"/>
          </w:rPr>
          <w:t>Chapter</w:t>
        </w:r>
        <w:r>
          <w:rPr>
            <w:rStyle w:val="Hyperlink"/>
          </w:rPr>
          <w:t xml:space="preserve"> 9</w:t>
        </w:r>
      </w:hyperlink>
      <w:r w:rsidRPr="00FD274F">
        <w:t>.</w:t>
      </w:r>
    </w:p>
    <w:p w14:paraId="10A8A271" w14:textId="77777777" w:rsidR="00E86304" w:rsidRPr="00FD274F" w:rsidRDefault="00E86304" w:rsidP="00E86304">
      <w:pPr>
        <w:pStyle w:val="BodyNum"/>
      </w:pPr>
      <w:r w:rsidRPr="00FD274F">
        <w:t xml:space="preserve">In repealing an instrument in its entirety, the date of repeal </w:t>
      </w:r>
      <w:bookmarkStart w:id="53" w:name="_Ref367446721"/>
      <w:r w:rsidRPr="00FD274F">
        <w:t>provided by the rule</w:t>
      </w:r>
      <w:r>
        <w:noBreakHyphen/>
      </w:r>
      <w:r w:rsidRPr="00FD274F">
        <w:t xml:space="preserve">maker </w:t>
      </w:r>
      <w:r>
        <w:t>will have no effect if it is</w:t>
      </w:r>
      <w:r w:rsidRPr="00FD274F">
        <w:t xml:space="preserve"> later than any sunset date that already applies under </w:t>
      </w:r>
      <w:r w:rsidRPr="0033228A">
        <w:t xml:space="preserve">Part </w:t>
      </w:r>
      <w:r w:rsidRPr="0033228A">
        <w:lastRenderedPageBreak/>
        <w:t xml:space="preserve">4 of Chapter 3 of the </w:t>
      </w:r>
      <w:hyperlink r:id="rId183" w:history="1">
        <w:r w:rsidRPr="0033228A">
          <w:rPr>
            <w:rStyle w:val="Hyperlink"/>
          </w:rPr>
          <w:t>LA</w:t>
        </w:r>
      </w:hyperlink>
      <w:r w:rsidRPr="005C434C">
        <w:rPr>
          <w:rStyle w:val="Hyperlink"/>
        </w:rPr>
        <w:t xml:space="preserve"> </w:t>
      </w:r>
      <w:r w:rsidRPr="005C434C">
        <w:t xml:space="preserve">(see </w:t>
      </w:r>
      <w:hyperlink w:anchor="Chapter10" w:history="1">
        <w:r w:rsidRPr="005C434C">
          <w:rPr>
            <w:rStyle w:val="Hyperlink"/>
          </w:rPr>
          <w:t>Chapter</w:t>
        </w:r>
        <w:r>
          <w:rPr>
            <w:rStyle w:val="Hyperlink"/>
          </w:rPr>
          <w:t xml:space="preserve"> 9</w:t>
        </w:r>
      </w:hyperlink>
      <w:r w:rsidRPr="005C434C">
        <w:t>). U</w:t>
      </w:r>
      <w:r w:rsidRPr="00FD274F">
        <w:t>nless a specific term is required by the enabling legislation, it is also important:</w:t>
      </w:r>
      <w:bookmarkEnd w:id="53"/>
    </w:p>
    <w:p w14:paraId="306C8C56" w14:textId="77777777" w:rsidR="00E86304" w:rsidRPr="00FD274F" w:rsidRDefault="00E86304" w:rsidP="00E86304">
      <w:pPr>
        <w:pStyle w:val="BodyPara"/>
      </w:pPr>
      <w:bookmarkStart w:id="54" w:name="_Ref369624772"/>
      <w:r w:rsidRPr="00FD274F">
        <w:t>to clearly indicate that the relevant instrument is being repealed</w:t>
      </w:r>
      <w:r>
        <w:t>,</w:t>
      </w:r>
      <w:r w:rsidRPr="00FD274F">
        <w:t xml:space="preserve"> preferably by using the word “repeal”</w:t>
      </w:r>
      <w:r>
        <w:t>, “revoke” or “rescind”</w:t>
      </w:r>
      <w:r w:rsidRPr="00FD274F">
        <w:t xml:space="preserve"> for consistency with </w:t>
      </w:r>
      <w:r w:rsidRPr="00DF0E7B">
        <w:t xml:space="preserve">section 7 of the </w:t>
      </w:r>
      <w:hyperlink r:id="rId184" w:history="1">
        <w:hyperlink r:id="rId185" w:history="1">
          <w:r w:rsidRPr="00DF0E7B">
            <w:rPr>
              <w:rStyle w:val="Hyperlink"/>
              <w:i/>
            </w:rPr>
            <w:t>Acts Interpretation Act 1901</w:t>
          </w:r>
        </w:hyperlink>
      </w:hyperlink>
      <w:bookmarkEnd w:id="54"/>
      <w:r w:rsidRPr="00FD274F">
        <w:rPr>
          <w:rStyle w:val="Hyperlink"/>
          <w:i/>
        </w:rPr>
        <w:t xml:space="preserve"> </w:t>
      </w:r>
      <w:r w:rsidRPr="00FD274F">
        <w:t xml:space="preserve">and </w:t>
      </w:r>
      <w:r>
        <w:t xml:space="preserve">the definition of </w:t>
      </w:r>
      <w:r>
        <w:rPr>
          <w:b/>
          <w:i/>
        </w:rPr>
        <w:t>repeal</w:t>
      </w:r>
      <w:r>
        <w:t xml:space="preserve"> in section 4 of </w:t>
      </w:r>
      <w:r w:rsidRPr="00FD274F">
        <w:t xml:space="preserve">the </w:t>
      </w:r>
      <w:hyperlink r:id="rId186" w:history="1">
        <w:r w:rsidRPr="0033228A">
          <w:rPr>
            <w:rStyle w:val="Hyperlink"/>
          </w:rPr>
          <w:t>LA</w:t>
        </w:r>
      </w:hyperlink>
      <w:r w:rsidRPr="0033228A">
        <w:t>; a</w:t>
      </w:r>
      <w:r w:rsidRPr="00FD274F">
        <w:t>nd</w:t>
      </w:r>
    </w:p>
    <w:p w14:paraId="4F509D6D" w14:textId="77777777" w:rsidR="00E86304" w:rsidRPr="00FD274F" w:rsidRDefault="00E86304" w:rsidP="00E86304">
      <w:pPr>
        <w:pStyle w:val="BodyPara"/>
      </w:pPr>
      <w:r w:rsidRPr="00FD274F">
        <w:t>to avoid a potentially ambiguous term such as cease, end, finish, replace, sunset, supersede</w:t>
      </w:r>
      <w:r>
        <w:t xml:space="preserve">, </w:t>
      </w:r>
      <w:r w:rsidRPr="00FD274F">
        <w:t>terminate</w:t>
      </w:r>
      <w:r>
        <w:t xml:space="preserve"> or expire as if repealed</w:t>
      </w:r>
      <w:r w:rsidRPr="00FD274F">
        <w:t>—these terms cease the effect of a law without removing it from the statute book.</w:t>
      </w:r>
    </w:p>
    <w:p w14:paraId="62B444CC" w14:textId="77777777" w:rsidR="00E86304" w:rsidRPr="00FD274F" w:rsidRDefault="00E86304" w:rsidP="00E86304">
      <w:pPr>
        <w:pStyle w:val="Head4"/>
      </w:pPr>
      <w:r w:rsidRPr="00FD274F">
        <w:t>Certain instruments will be subject to automatic repeal</w:t>
      </w:r>
    </w:p>
    <w:p w14:paraId="38C03D05" w14:textId="77777777" w:rsidR="00E86304" w:rsidRDefault="00E86304" w:rsidP="00E86304">
      <w:pPr>
        <w:pStyle w:val="BodyNum"/>
      </w:pPr>
      <w:bookmarkStart w:id="55" w:name="_Ref384703176"/>
      <w:bookmarkStart w:id="56" w:name="_Ref384723656"/>
      <w:r w:rsidRPr="00FD274F">
        <w:t xml:space="preserve">If an instrument is solely commencing, amending or repealing, it will be repealed automatically in full under </w:t>
      </w:r>
      <w:r w:rsidRPr="004B337C">
        <w:t xml:space="preserve">section 48A or 48B of the </w:t>
      </w:r>
      <w:hyperlink r:id="rId187" w:history="1">
        <w:r w:rsidRPr="004B337C">
          <w:rPr>
            <w:rStyle w:val="Hyperlink"/>
          </w:rPr>
          <w:t>LA</w:t>
        </w:r>
      </w:hyperlink>
      <w:r w:rsidRPr="004B337C">
        <w:rPr>
          <w:rStyle w:val="Hyperlink"/>
        </w:rPr>
        <w:t xml:space="preserve"> </w:t>
      </w:r>
      <w:bookmarkEnd w:id="55"/>
      <w:bookmarkEnd w:id="56"/>
      <w:r w:rsidRPr="004B337C">
        <w:t>on</w:t>
      </w:r>
      <w:r w:rsidRPr="005E23E3">
        <w:t xml:space="preserve"> the day after</w:t>
      </w:r>
      <w:r>
        <w:t xml:space="preserve"> the latest of:</w:t>
      </w:r>
    </w:p>
    <w:p w14:paraId="41F1CCC5" w14:textId="77777777" w:rsidR="00E86304" w:rsidRDefault="00E86304" w:rsidP="00E86304">
      <w:pPr>
        <w:pStyle w:val="BodyPara"/>
      </w:pPr>
      <w:r w:rsidRPr="00A837B6">
        <w:t xml:space="preserve">for a disallowable legislative instrument—the end of the </w:t>
      </w:r>
      <w:r>
        <w:t xml:space="preserve">disallowance period </w:t>
      </w:r>
      <w:r w:rsidRPr="00CD3326">
        <w:t>for that instrument, when the instrument has fully commenced, or when the capacity for any further provisions to commence has been e</w:t>
      </w:r>
      <w:r>
        <w:t>xhausted; or</w:t>
      </w:r>
    </w:p>
    <w:p w14:paraId="7449873E" w14:textId="77777777" w:rsidR="00E86304" w:rsidRDefault="00E86304" w:rsidP="00E86304">
      <w:pPr>
        <w:pStyle w:val="BodyPara"/>
      </w:pPr>
      <w:r w:rsidRPr="00A837B6">
        <w:t xml:space="preserve">for a legislative instrument </w:t>
      </w:r>
      <w:r>
        <w:t>that is exempt from disallowance</w:t>
      </w:r>
      <w:r w:rsidRPr="00A837B6">
        <w:t xml:space="preserve"> or </w:t>
      </w:r>
      <w:r>
        <w:t xml:space="preserve">for </w:t>
      </w:r>
      <w:r w:rsidRPr="00A837B6">
        <w:t>a notifiable instrument—</w:t>
      </w:r>
      <w:r w:rsidRPr="00CD3326">
        <w:t>when the instrument has fully commenced, the capacity for any further provisions to commence has been exhausted, or the instrument is re</w:t>
      </w:r>
      <w:r>
        <w:t>gistered</w:t>
      </w:r>
      <w:r w:rsidRPr="00A837B6">
        <w:t>.</w:t>
      </w:r>
    </w:p>
    <w:p w14:paraId="43D64205" w14:textId="77777777" w:rsidR="00E86304" w:rsidRPr="00FD274F" w:rsidRDefault="00E86304" w:rsidP="00E86304">
      <w:pPr>
        <w:pStyle w:val="BodyNum"/>
      </w:pPr>
      <w:r w:rsidRPr="00FD274F">
        <w:t>There is no need to provide for its repeal.</w:t>
      </w:r>
    </w:p>
    <w:p w14:paraId="0DAF9442" w14:textId="77777777" w:rsidR="00E86304" w:rsidRPr="00FD274F" w:rsidRDefault="00E86304" w:rsidP="00E86304">
      <w:pPr>
        <w:pStyle w:val="BodyNum"/>
      </w:pPr>
      <w:bookmarkStart w:id="57" w:name="_Ref384713268"/>
      <w:r w:rsidRPr="00FD274F">
        <w:t>Agencies do, however, need to assess whether an instrument meets th</w:t>
      </w:r>
      <w:r w:rsidRPr="004B337C">
        <w:t xml:space="preserve">e </w:t>
      </w:r>
      <w:hyperlink r:id="rId188" w:history="1">
        <w:r w:rsidRPr="004B337C">
          <w:rPr>
            <w:rStyle w:val="Hyperlink"/>
          </w:rPr>
          <w:t>LA</w:t>
        </w:r>
      </w:hyperlink>
      <w:r w:rsidRPr="00FD274F">
        <w:t xml:space="preserve"> criteria for automatic repeal and advise </w:t>
      </w:r>
      <w:proofErr w:type="spellStart"/>
      <w:r w:rsidRPr="00FD274F">
        <w:t>OPC</w:t>
      </w:r>
      <w:proofErr w:type="spellEnd"/>
      <w:r w:rsidRPr="00FD274F">
        <w:t xml:space="preserve"> of this (ideally at </w:t>
      </w:r>
      <w:r>
        <w:t xml:space="preserve">the </w:t>
      </w:r>
      <w:r w:rsidRPr="00FD274F">
        <w:t xml:space="preserve">time of lodgement). </w:t>
      </w:r>
      <w:r>
        <w:t>N</w:t>
      </w:r>
      <w:r w:rsidRPr="00FD274F">
        <w:t>ote that the following do not affect whether an instrument is solely commencing, amending or repealing:</w:t>
      </w:r>
      <w:bookmarkEnd w:id="57"/>
    </w:p>
    <w:p w14:paraId="23D764AC" w14:textId="77777777" w:rsidR="00E86304" w:rsidRPr="00FD274F" w:rsidRDefault="00E86304" w:rsidP="00E86304">
      <w:pPr>
        <w:pStyle w:val="BodyPara"/>
      </w:pPr>
      <w:r w:rsidRPr="00FD274F">
        <w:t>a preamble or recital (however described);</w:t>
      </w:r>
    </w:p>
    <w:p w14:paraId="193DD2E8" w14:textId="77777777" w:rsidR="00E86304" w:rsidRPr="00FD274F" w:rsidRDefault="00E86304" w:rsidP="00E86304">
      <w:pPr>
        <w:pStyle w:val="BodyPara"/>
      </w:pPr>
      <w:r w:rsidRPr="00FD274F">
        <w:t>a naming provision;</w:t>
      </w:r>
    </w:p>
    <w:p w14:paraId="73D0DF80" w14:textId="77777777" w:rsidR="00E86304" w:rsidRPr="00FD274F" w:rsidRDefault="00E86304" w:rsidP="00E86304">
      <w:pPr>
        <w:pStyle w:val="BodyPara"/>
      </w:pPr>
      <w:r w:rsidRPr="00FD274F">
        <w:t>a commencement provision;</w:t>
      </w:r>
    </w:p>
    <w:p w14:paraId="2F1B2DCF" w14:textId="77777777" w:rsidR="00E86304" w:rsidRPr="00FD274F" w:rsidRDefault="00E86304" w:rsidP="00E86304">
      <w:pPr>
        <w:pStyle w:val="BodyPara"/>
      </w:pPr>
      <w:r w:rsidRPr="00FD274F">
        <w:t>an authority provision;</w:t>
      </w:r>
    </w:p>
    <w:p w14:paraId="40B91EDD" w14:textId="77777777" w:rsidR="00E86304" w:rsidRPr="00FD274F" w:rsidRDefault="00E86304" w:rsidP="00E86304">
      <w:pPr>
        <w:pStyle w:val="BodyPara"/>
      </w:pPr>
      <w:r w:rsidRPr="00FD274F">
        <w:t>an objects provision, simplified outline or similar provision that sets out the purposes of, or explains, the instrument or any of its provisions;</w:t>
      </w:r>
    </w:p>
    <w:p w14:paraId="18E1D4C3" w14:textId="77777777" w:rsidR="00E86304" w:rsidRPr="00FD274F" w:rsidRDefault="00E86304" w:rsidP="00E86304">
      <w:pPr>
        <w:pStyle w:val="BodyPara"/>
      </w:pPr>
      <w:r w:rsidRPr="00FD274F">
        <w:t>any provision that is being inserted into another instrument by amendment.</w:t>
      </w:r>
    </w:p>
    <w:p w14:paraId="2AABF377" w14:textId="77777777" w:rsidR="00E86304" w:rsidRPr="00FD274F" w:rsidRDefault="00E86304" w:rsidP="00E86304">
      <w:pPr>
        <w:pStyle w:val="BodyNum"/>
      </w:pPr>
      <w:bookmarkStart w:id="58" w:name="_Ref384650277"/>
      <w:r w:rsidRPr="00FD274F">
        <w:t>An instrument can</w:t>
      </w:r>
      <w:r>
        <w:t xml:space="preserve">not </w:t>
      </w:r>
      <w:r w:rsidRPr="00FD274F">
        <w:t xml:space="preserve">be considered solely commencing, amending or repealing if it contains any of the following provisions, </w:t>
      </w:r>
      <w:r>
        <w:t xml:space="preserve">unless </w:t>
      </w:r>
      <w:r w:rsidRPr="00FD274F">
        <w:t>the provision is inserted into another instrument by amendment:</w:t>
      </w:r>
      <w:bookmarkEnd w:id="58"/>
    </w:p>
    <w:p w14:paraId="21A7DFAB" w14:textId="77777777" w:rsidR="00E86304" w:rsidRPr="00FD274F" w:rsidRDefault="00E86304" w:rsidP="00E86304">
      <w:pPr>
        <w:pStyle w:val="BodyPara"/>
      </w:pPr>
      <w:r w:rsidRPr="00FD274F">
        <w:lastRenderedPageBreak/>
        <w:t xml:space="preserve">a saving provision such as “Parts X and Y of the </w:t>
      </w:r>
      <w:r w:rsidRPr="00FD274F">
        <w:rPr>
          <w:i/>
        </w:rPr>
        <w:t>Cat and Dog Regulation 2016</w:t>
      </w:r>
      <w:r w:rsidRPr="00FD274F">
        <w:t xml:space="preserve"> continue to apply in relation to …”;</w:t>
      </w:r>
    </w:p>
    <w:p w14:paraId="403C68E1" w14:textId="77777777" w:rsidR="00E86304" w:rsidRPr="00FD274F" w:rsidRDefault="00E86304" w:rsidP="00E86304">
      <w:pPr>
        <w:pStyle w:val="BodyPara"/>
      </w:pPr>
      <w:r w:rsidRPr="00FD274F">
        <w:t>a transitional provision such as “If a person has lodged a claim before the commencement of the instrument … the claim is taken to have been ...”;</w:t>
      </w:r>
    </w:p>
    <w:p w14:paraId="68905DB2" w14:textId="77777777" w:rsidR="00E86304" w:rsidRPr="00FD274F" w:rsidRDefault="00E86304" w:rsidP="00E86304">
      <w:pPr>
        <w:pStyle w:val="BodyPara"/>
      </w:pPr>
      <w:r w:rsidRPr="00FD274F">
        <w:t>an application provision such as “The amendments made by Schedule X apply / do not apply / only apply …”;</w:t>
      </w:r>
    </w:p>
    <w:p w14:paraId="05676D54" w14:textId="77777777" w:rsidR="00E86304" w:rsidRPr="00FD274F" w:rsidRDefault="00E86304" w:rsidP="00E86304">
      <w:pPr>
        <w:pStyle w:val="BodyPara"/>
      </w:pPr>
      <w:r w:rsidRPr="00FD274F">
        <w:t>a modification</w:t>
      </w:r>
      <w:r w:rsidRPr="00FD274F">
        <w:rPr>
          <w:spacing w:val="-2"/>
        </w:rPr>
        <w:t xml:space="preserve"> provision such as “The formula in section 99 is modified by …” </w:t>
      </w:r>
      <w:r w:rsidRPr="00FD274F">
        <w:t>(this may need to be read in the context of an application provision);</w:t>
      </w:r>
    </w:p>
    <w:p w14:paraId="6BD9E610" w14:textId="77777777" w:rsidR="00E86304" w:rsidRPr="00FD274F" w:rsidRDefault="00E86304" w:rsidP="00E86304">
      <w:pPr>
        <w:pStyle w:val="BodyPara"/>
      </w:pPr>
      <w:r w:rsidRPr="00FD274F">
        <w:t>any other substantive provision such as a requirement to notify or gazette certain information.</w:t>
      </w:r>
    </w:p>
    <w:p w14:paraId="215BD6A5" w14:textId="77777777" w:rsidR="00E86304" w:rsidRPr="00FD274F" w:rsidRDefault="00E86304" w:rsidP="00E86304">
      <w:pPr>
        <w:pStyle w:val="Head4"/>
      </w:pPr>
      <w:bookmarkStart w:id="59" w:name="_Ref384376105"/>
      <w:r w:rsidRPr="00FD274F">
        <w:t>Use of self</w:t>
      </w:r>
      <w:r>
        <w:noBreakHyphen/>
      </w:r>
      <w:r w:rsidRPr="00FD274F">
        <w:t>repealing provisions</w:t>
      </w:r>
    </w:p>
    <w:p w14:paraId="5B4641E5" w14:textId="77777777" w:rsidR="00E86304" w:rsidRPr="00FD274F" w:rsidRDefault="00E86304" w:rsidP="00E86304">
      <w:pPr>
        <w:pStyle w:val="BodyNum"/>
      </w:pPr>
      <w:bookmarkStart w:id="60" w:name="_Ref384706703"/>
      <w:r w:rsidRPr="00FD274F">
        <w:t>Unless an instrument is subject to automatic repeal, it will remain in force until it is repealed by some other means. If an instrument is only likely to be needed for a particular event or a limited period such as a financial or calendar year, a self</w:t>
      </w:r>
      <w:r>
        <w:noBreakHyphen/>
      </w:r>
      <w:r w:rsidRPr="00FD274F">
        <w:t xml:space="preserve">repealing provision may be considered. In drafting such a provision, </w:t>
      </w:r>
      <w:proofErr w:type="spellStart"/>
      <w:r w:rsidRPr="00FD274F">
        <w:t>OPC’s</w:t>
      </w:r>
      <w:proofErr w:type="spellEnd"/>
      <w:r w:rsidRPr="00FD274F">
        <w:t xml:space="preserve"> current practice is</w:t>
      </w:r>
      <w:r>
        <w:t xml:space="preserve"> generally</w:t>
      </w:r>
      <w:r w:rsidRPr="00FD274F">
        <w:t>:</w:t>
      </w:r>
      <w:bookmarkEnd w:id="59"/>
      <w:bookmarkEnd w:id="60"/>
    </w:p>
    <w:p w14:paraId="315AD2BF" w14:textId="77777777" w:rsidR="00E86304" w:rsidRPr="00FD274F" w:rsidRDefault="00E86304" w:rsidP="00E86304">
      <w:pPr>
        <w:pStyle w:val="BodyPara"/>
      </w:pPr>
      <w:r w:rsidRPr="00FD274F">
        <w:t>to include a separate self</w:t>
      </w:r>
      <w:r>
        <w:noBreakHyphen/>
      </w:r>
      <w:r w:rsidRPr="00FD274F">
        <w:t>repealing provision under a heading such as “Repeal”; and</w:t>
      </w:r>
    </w:p>
    <w:p w14:paraId="0453BA17" w14:textId="77777777" w:rsidR="00E86304" w:rsidRPr="00FD274F" w:rsidRDefault="00E86304" w:rsidP="00E86304">
      <w:pPr>
        <w:pStyle w:val="BodyPara"/>
      </w:pPr>
      <w:r w:rsidRPr="00FD274F">
        <w:t>to provide that the instrument is repealed; and</w:t>
      </w:r>
    </w:p>
    <w:p w14:paraId="1B16A986" w14:textId="77777777" w:rsidR="00E86304" w:rsidRPr="00F53136" w:rsidRDefault="00E86304" w:rsidP="00E86304">
      <w:pPr>
        <w:pStyle w:val="BodyPara"/>
      </w:pPr>
      <w:r w:rsidRPr="00F53136">
        <w:t xml:space="preserve">to specify that the instrument is repealed </w:t>
      </w:r>
      <w:r>
        <w:t>at the start of</w:t>
      </w:r>
      <w:r w:rsidRPr="00F53136">
        <w:t xml:space="preserve"> a specified day, with the day chosen taking into account not only any sunset date that may apply, but also the need for the instrument:</w:t>
      </w:r>
    </w:p>
    <w:p w14:paraId="4F7230C0" w14:textId="77777777" w:rsidR="00E86304" w:rsidRPr="00FD274F" w:rsidRDefault="00E86304" w:rsidP="00E86304">
      <w:pPr>
        <w:pStyle w:val="BodySubPara"/>
      </w:pPr>
      <w:r w:rsidRPr="00FD274F">
        <w:t>to be registered and to commence in full before it is repealed; and</w:t>
      </w:r>
    </w:p>
    <w:p w14:paraId="6AC522FE" w14:textId="77777777" w:rsidR="00E86304" w:rsidRPr="00FD274F" w:rsidRDefault="00E86304" w:rsidP="00E86304">
      <w:pPr>
        <w:pStyle w:val="BodySubPara"/>
      </w:pPr>
      <w:r w:rsidRPr="00FD274F">
        <w:t>to remain in force until the event or period to which it relates has passed.</w:t>
      </w:r>
    </w:p>
    <w:p w14:paraId="27DC6409" w14:textId="77777777" w:rsidR="00E86304" w:rsidRPr="00FD274F" w:rsidRDefault="00E86304" w:rsidP="00E86304">
      <w:pPr>
        <w:pStyle w:val="Head3"/>
      </w:pPr>
      <w:bookmarkStart w:id="61" w:name="_Toc238117538"/>
      <w:bookmarkStart w:id="62" w:name="_Ref367446182"/>
      <w:bookmarkEnd w:id="51"/>
      <w:r w:rsidRPr="00FD274F">
        <w:t>Default rules on incorporating documents by reference</w:t>
      </w:r>
      <w:bookmarkEnd w:id="61"/>
    </w:p>
    <w:p w14:paraId="4CF66730" w14:textId="77777777" w:rsidR="00E86304" w:rsidRPr="00FD274F" w:rsidRDefault="00E86304" w:rsidP="00E86304">
      <w:pPr>
        <w:pStyle w:val="BodyNum"/>
      </w:pPr>
      <w:bookmarkStart w:id="63" w:name="_Ref428882029"/>
      <w:r w:rsidRPr="00FD274F">
        <w:t>In exercising the power to make a legislative instrument in relation to a matter, a rule</w:t>
      </w:r>
      <w:r>
        <w:noBreakHyphen/>
      </w:r>
      <w:r w:rsidRPr="00FD274F">
        <w:t>maker may prescribe matters by reference to another document, such as model legislation enacted by another jurisdiction. In doing so, the rule</w:t>
      </w:r>
      <w:r>
        <w:noBreakHyphen/>
      </w:r>
      <w:r w:rsidRPr="00FD274F">
        <w:t xml:space="preserve">maker must comply with the default provisions of </w:t>
      </w:r>
      <w:r w:rsidRPr="004B337C">
        <w:t xml:space="preserve">the </w:t>
      </w:r>
      <w:hyperlink r:id="rId189" w:history="1">
        <w:r w:rsidRPr="004B337C">
          <w:rPr>
            <w:rStyle w:val="Hyperlink"/>
          </w:rPr>
          <w:t>LA</w:t>
        </w:r>
      </w:hyperlink>
      <w:r w:rsidRPr="004B337C">
        <w:rPr>
          <w:rStyle w:val="Hyperlink"/>
        </w:rPr>
        <w:t xml:space="preserve"> </w:t>
      </w:r>
      <w:r w:rsidRPr="004B337C">
        <w:t>(particularly section 14), a</w:t>
      </w:r>
      <w:r w:rsidRPr="00FD274F">
        <w:t>nd any special provisions of the instrument’s enabling legislation.</w:t>
      </w:r>
      <w:bookmarkEnd w:id="62"/>
      <w:bookmarkEnd w:id="63"/>
    </w:p>
    <w:p w14:paraId="23E185F0" w14:textId="77777777" w:rsidR="00E86304" w:rsidRPr="00A2685F" w:rsidRDefault="00E86304" w:rsidP="00E86304">
      <w:pPr>
        <w:pStyle w:val="BodyNum"/>
      </w:pPr>
      <w:bookmarkStart w:id="64" w:name="_Ref428882045"/>
      <w:r w:rsidRPr="00A2685F">
        <w:t>Unde</w:t>
      </w:r>
      <w:r w:rsidRPr="004B337C">
        <w:t xml:space="preserve">r section 14 of the </w:t>
      </w:r>
      <w:hyperlink r:id="rId190" w:history="1">
        <w:r w:rsidRPr="004B337C">
          <w:rPr>
            <w:rStyle w:val="Hyperlink"/>
          </w:rPr>
          <w:t>LA</w:t>
        </w:r>
      </w:hyperlink>
      <w:r w:rsidRPr="004B337C">
        <w:t>, if a</w:t>
      </w:r>
      <w:r w:rsidRPr="00A2685F">
        <w:t>uthorised</w:t>
      </w:r>
      <w:r>
        <w:t xml:space="preserve"> or required</w:t>
      </w:r>
      <w:r w:rsidRPr="00A2685F">
        <w:t xml:space="preserve"> by the enabling legislation</w:t>
      </w:r>
      <w:r>
        <w:t>,</w:t>
      </w:r>
      <w:r w:rsidRPr="00A2685F">
        <w:t xml:space="preserve"> a legislative instrument or notifiable instrument may make provision in relation to any matter by applying, adopting or incorporating</w:t>
      </w:r>
      <w:bookmarkEnd w:id="64"/>
      <w:r>
        <w:t xml:space="preserve"> </w:t>
      </w:r>
      <w:r w:rsidRPr="00A2685F">
        <w:t>some or all of another document, with or without modification. A document may be:</w:t>
      </w:r>
    </w:p>
    <w:p w14:paraId="1DDC1870" w14:textId="77777777" w:rsidR="00E86304" w:rsidRPr="00A2685F" w:rsidRDefault="00E86304" w:rsidP="00E86304">
      <w:pPr>
        <w:pStyle w:val="BodyPara"/>
      </w:pPr>
      <w:r w:rsidRPr="00A2685F">
        <w:lastRenderedPageBreak/>
        <w:t>the provisions of an Act, disallowable legislative instrument or rule of court as in force at a particular time or as in force from time to time</w:t>
      </w:r>
      <w:r>
        <w:t>; or</w:t>
      </w:r>
    </w:p>
    <w:p w14:paraId="1FA248C5" w14:textId="77777777" w:rsidR="00E86304" w:rsidRPr="00A2685F" w:rsidRDefault="00E86304" w:rsidP="00E86304">
      <w:pPr>
        <w:pStyle w:val="BodyPara"/>
      </w:pPr>
      <w:r w:rsidRPr="00A2685F">
        <w:t>any other instrument or writing as in force or existing at the time the instrument commences or a time before the instrument commences (and not from time to time, unless the contrary intention appears).</w:t>
      </w:r>
    </w:p>
    <w:p w14:paraId="2FCE7D5E" w14:textId="77777777" w:rsidR="00E86304" w:rsidRPr="00A2685F" w:rsidRDefault="00E86304" w:rsidP="00E86304">
      <w:pPr>
        <w:pStyle w:val="BodyNum"/>
      </w:pPr>
      <w:r w:rsidRPr="00A2685F">
        <w:t>To ensure that an incorporation by reference is effective, does not have unintended consequences, and is clear on the face of the instrument, it is essential to clearly identify the document that is incorporated.</w:t>
      </w:r>
    </w:p>
    <w:p w14:paraId="1FAC43C9" w14:textId="77777777" w:rsidR="00E86304" w:rsidRPr="00FD274F" w:rsidRDefault="00E86304" w:rsidP="00E86304">
      <w:pPr>
        <w:pStyle w:val="BodyNum"/>
      </w:pPr>
      <w:r w:rsidRPr="00FD274F">
        <w:t xml:space="preserve">As it is usually necessary to refer to the document to understand or apply the law made by the instrument, </w:t>
      </w:r>
      <w:r w:rsidRPr="004B337C">
        <w:t xml:space="preserve">the </w:t>
      </w:r>
      <w:hyperlink r:id="rId191" w:history="1">
        <w:r w:rsidRPr="004B337C">
          <w:rPr>
            <w:rStyle w:val="Hyperlink"/>
          </w:rPr>
          <w:t>LA</w:t>
        </w:r>
      </w:hyperlink>
      <w:r w:rsidRPr="004B337C">
        <w:rPr>
          <w:rStyle w:val="Hyperlink"/>
        </w:rPr>
        <w:t xml:space="preserve"> </w:t>
      </w:r>
      <w:r w:rsidRPr="004B337C">
        <w:t>re</w:t>
      </w:r>
      <w:r w:rsidRPr="00FD274F">
        <w:t>quires the rule</w:t>
      </w:r>
      <w:r>
        <w:noBreakHyphen/>
      </w:r>
      <w:r w:rsidRPr="00FD274F">
        <w:t>maker:</w:t>
      </w:r>
    </w:p>
    <w:p w14:paraId="2EB1382F" w14:textId="77777777" w:rsidR="00E86304" w:rsidRPr="00FD274F" w:rsidRDefault="00E86304" w:rsidP="00E86304">
      <w:pPr>
        <w:pStyle w:val="BodyPara"/>
      </w:pPr>
      <w:r w:rsidRPr="00FD274F">
        <w:t>to describe the document, and indicate how it may be obtained, in the explanatory statemen</w:t>
      </w:r>
      <w:r w:rsidRPr="004B337C">
        <w:t xml:space="preserve">t (see </w:t>
      </w:r>
      <w:hyperlink r:id="rId192" w:history="1">
        <w:r w:rsidRPr="004B337C">
          <w:rPr>
            <w:rStyle w:val="Hyperlink"/>
          </w:rPr>
          <w:t>LA</w:t>
        </w:r>
      </w:hyperlink>
      <w:r w:rsidRPr="004B337C">
        <w:rPr>
          <w:rStyle w:val="Hyperlink"/>
        </w:rPr>
        <w:t xml:space="preserve"> </w:t>
      </w:r>
      <w:r w:rsidRPr="004B337C">
        <w:t>s 15J(2)(c</w:t>
      </w:r>
      <w:r w:rsidRPr="00FD274F">
        <w:t xml:space="preserve">) and </w:t>
      </w:r>
      <w:hyperlink w:anchor="Chapter8" w:history="1">
        <w:r w:rsidRPr="002763E0">
          <w:rPr>
            <w:rStyle w:val="Hyperlink"/>
          </w:rPr>
          <w:t>Chapter</w:t>
        </w:r>
        <w:r>
          <w:rPr>
            <w:rStyle w:val="Hyperlink"/>
          </w:rPr>
          <w:t xml:space="preserve"> 7</w:t>
        </w:r>
      </w:hyperlink>
      <w:r w:rsidRPr="002763E0">
        <w:t>);</w:t>
      </w:r>
      <w:r w:rsidRPr="00FD274F">
        <w:t xml:space="preserve"> and</w:t>
      </w:r>
    </w:p>
    <w:p w14:paraId="5FC52576" w14:textId="77777777" w:rsidR="00E86304" w:rsidRPr="00FD274F" w:rsidRDefault="00E86304" w:rsidP="00E86304">
      <w:pPr>
        <w:pStyle w:val="BodyPara"/>
      </w:pPr>
      <w:r w:rsidRPr="00FD274F">
        <w:t>to make the document available for inspection, if and as required by either House of the Parliament, while the instrument is open to disallowance (se</w:t>
      </w:r>
      <w:r w:rsidRPr="004B337C">
        <w:t xml:space="preserve">e </w:t>
      </w:r>
      <w:hyperlink r:id="rId193" w:history="1">
        <w:r w:rsidRPr="004B337C">
          <w:rPr>
            <w:rStyle w:val="Hyperlink"/>
          </w:rPr>
          <w:t>LA</w:t>
        </w:r>
      </w:hyperlink>
      <w:r w:rsidRPr="004B337C">
        <w:rPr>
          <w:rStyle w:val="Hyperlink"/>
        </w:rPr>
        <w:t xml:space="preserve"> </w:t>
      </w:r>
      <w:r w:rsidRPr="004B337C">
        <w:t>s 41 a</w:t>
      </w:r>
      <w:r w:rsidRPr="00FD274F">
        <w:t xml:space="preserve">nd </w:t>
      </w:r>
      <w:hyperlink w:anchor="Chapter9" w:history="1">
        <w:r w:rsidRPr="002763E0">
          <w:rPr>
            <w:rStyle w:val="Hyperlink"/>
          </w:rPr>
          <w:t>Chapter</w:t>
        </w:r>
        <w:r>
          <w:rPr>
            <w:rStyle w:val="Hyperlink"/>
          </w:rPr>
          <w:t xml:space="preserve"> 8</w:t>
        </w:r>
      </w:hyperlink>
      <w:r w:rsidRPr="002763E0">
        <w:t>).</w:t>
      </w:r>
    </w:p>
    <w:p w14:paraId="293AF729" w14:textId="77777777" w:rsidR="00E86304" w:rsidRDefault="00E86304" w:rsidP="00E86304">
      <w:pPr>
        <w:pStyle w:val="BodyNum"/>
        <w:keepLines/>
      </w:pPr>
      <w:bookmarkStart w:id="65" w:name="_Ref435530063"/>
      <w:r w:rsidRPr="00FD274F">
        <w:t>Although agencies are not required to make documents incorporated by reference available elsewhere, the practice of incorporating documents that are not readily available “may increase the cost of compliance for the community and the risk of non</w:t>
      </w:r>
      <w:r>
        <w:noBreakHyphen/>
      </w:r>
      <w:r w:rsidRPr="00FD274F">
        <w:t>compliance”</w:t>
      </w:r>
      <w:r w:rsidRPr="00FD274F">
        <w:rPr>
          <w:rStyle w:val="FootnoteReference"/>
        </w:rPr>
        <w:footnoteReference w:id="12"/>
      </w:r>
      <w:r w:rsidRPr="00FD274F">
        <w:t>. If it is necessary to incorporate such material, it may be possible to reduce the costs and risks e.g. by purchasing print copies for distribution to major regional libraries through the Commonwealth Library Deposit and Free Issue Scheme</w:t>
      </w:r>
      <w:r w:rsidRPr="004B337C">
        <w:t>s</w:t>
      </w:r>
      <w:r w:rsidRPr="004B337C">
        <w:rPr>
          <w:rStyle w:val="FootnoteReference"/>
        </w:rPr>
        <w:footnoteReference w:id="13"/>
      </w:r>
      <w:r w:rsidRPr="004B337C">
        <w:t>.</w:t>
      </w:r>
      <w:bookmarkEnd w:id="65"/>
    </w:p>
    <w:p w14:paraId="5628AAD2" w14:textId="77777777" w:rsidR="00E86304" w:rsidRPr="00FD274F" w:rsidRDefault="00E86304" w:rsidP="00E86304">
      <w:pPr>
        <w:pStyle w:val="BodyNum"/>
        <w:keepLines/>
      </w:pPr>
      <w:bookmarkStart w:id="66" w:name="_Ref184283646"/>
      <w:r>
        <w:t>Alternatively, attaching copies of the documents incorporated by reference or providing direct links to those documents as supporting material on the Register greatly improves accessibility.</w:t>
      </w:r>
      <w:bookmarkEnd w:id="66"/>
    </w:p>
    <w:p w14:paraId="712E2CB4" w14:textId="77777777" w:rsidR="00E86304" w:rsidRDefault="00E86304" w:rsidP="00E86304">
      <w:pPr>
        <w:pStyle w:val="Head3"/>
      </w:pPr>
      <w:bookmarkStart w:id="67" w:name="_Toc526347512"/>
      <w:bookmarkStart w:id="68" w:name="_Toc238117539"/>
      <w:r w:rsidRPr="00FD274F">
        <w:t>Scope to delegate power</w:t>
      </w:r>
      <w:bookmarkEnd w:id="67"/>
      <w:bookmarkEnd w:id="68"/>
    </w:p>
    <w:p w14:paraId="1375DD3F" w14:textId="77777777" w:rsidR="00E86304" w:rsidRPr="001F1262" w:rsidRDefault="00E86304" w:rsidP="00E86304">
      <w:pPr>
        <w:pStyle w:val="Head4"/>
      </w:pPr>
      <w:r>
        <w:t>Delegating a power to make a legislative instrument</w:t>
      </w:r>
    </w:p>
    <w:p w14:paraId="2BB56413" w14:textId="77777777" w:rsidR="00E86304" w:rsidRPr="00FD274F" w:rsidRDefault="00E86304" w:rsidP="00E86304">
      <w:pPr>
        <w:pStyle w:val="BodyNum"/>
      </w:pPr>
      <w:bookmarkStart w:id="69" w:name="_Ref369883259"/>
      <w:r w:rsidRPr="00FD274F">
        <w:t>A rule</w:t>
      </w:r>
      <w:r w:rsidRPr="00FD274F">
        <w:noBreakHyphen/>
        <w:t>maker may, in some circumstances, be able to delegate to a third party the power to make instruments or exercise other powers. It is important to note, however, that delegation is usually only possible if an Act makes explicit provision for it to occur. Examples of provisions that do this include the following:</w:t>
      </w:r>
      <w:bookmarkEnd w:id="69"/>
    </w:p>
    <w:p w14:paraId="68CCEA7E" w14:textId="77777777" w:rsidR="00E86304" w:rsidRPr="00FD274F" w:rsidRDefault="00E86304" w:rsidP="00E86304">
      <w:pPr>
        <w:pStyle w:val="BodyParaBullet"/>
        <w:numPr>
          <w:ilvl w:val="0"/>
          <w:numId w:val="0"/>
        </w:numPr>
        <w:ind w:left="720"/>
      </w:pPr>
      <w:r w:rsidRPr="00FD274F">
        <w:t>“The Minister may, in writing, delegate his or her powers under this Act to an SES employee or an APS employee performing duties in the Department.”</w:t>
      </w:r>
    </w:p>
    <w:p w14:paraId="184CC974" w14:textId="77777777" w:rsidR="00E86304" w:rsidRPr="00FD274F" w:rsidRDefault="00E86304" w:rsidP="00E86304">
      <w:pPr>
        <w:pStyle w:val="BodyParaBullet"/>
        <w:numPr>
          <w:ilvl w:val="0"/>
          <w:numId w:val="0"/>
        </w:numPr>
        <w:ind w:left="720"/>
        <w:rPr>
          <w:spacing w:val="-2"/>
        </w:rPr>
      </w:pPr>
      <w:r w:rsidRPr="00FD274F">
        <w:rPr>
          <w:spacing w:val="-2"/>
        </w:rPr>
        <w:t>“The First Parliamentary Counsel may, by signed instrument, delegate to … an SES employee in the Office of Parliamentary Counsel or in the Department any of the powers or functions of the First Parliamentary Counsel under this Act.”</w:t>
      </w:r>
    </w:p>
    <w:p w14:paraId="54D92D46" w14:textId="77777777" w:rsidR="00E86304" w:rsidRPr="00FD274F" w:rsidRDefault="00E86304" w:rsidP="00E86304">
      <w:pPr>
        <w:pStyle w:val="BodyNum"/>
      </w:pPr>
      <w:r w:rsidRPr="00FD274F">
        <w:rPr>
          <w:color w:val="000000"/>
        </w:rPr>
        <w:lastRenderedPageBreak/>
        <w:t xml:space="preserve">It is also important to note that delegating a power does not </w:t>
      </w:r>
      <w:r w:rsidRPr="00FD274F">
        <w:t>expand the statutory limits of that power, affect any obligations that may apply under Acts of general application</w:t>
      </w:r>
      <w:r>
        <w:t>,</w:t>
      </w:r>
      <w:r w:rsidRPr="00FD274F">
        <w:t xml:space="preserve"> including </w:t>
      </w:r>
      <w:r w:rsidRPr="004B337C">
        <w:t xml:space="preserve">the </w:t>
      </w:r>
      <w:hyperlink r:id="rId194" w:history="1">
        <w:r w:rsidRPr="004B337C">
          <w:rPr>
            <w:rStyle w:val="Hyperlink"/>
          </w:rPr>
          <w:t>LA</w:t>
        </w:r>
      </w:hyperlink>
      <w:r w:rsidRPr="00FD274F">
        <w:t>, or mean that the delegate can sub</w:t>
      </w:r>
      <w:r w:rsidRPr="00FD274F">
        <w:noBreakHyphen/>
        <w:t>delegate the power further (</w:t>
      </w:r>
      <w:r w:rsidRPr="00390F6E">
        <w:t xml:space="preserve">see </w:t>
      </w:r>
      <w:hyperlink r:id="rId195" w:history="1">
        <w:hyperlink r:id="rId196" w:history="1">
          <w:r w:rsidRPr="00390F6E">
            <w:rPr>
              <w:rStyle w:val="Hyperlink"/>
              <w:i/>
            </w:rPr>
            <w:t>Acts Interpretation Act 1901</w:t>
          </w:r>
        </w:hyperlink>
      </w:hyperlink>
      <w:r w:rsidRPr="00390F6E">
        <w:t xml:space="preserve"> s 34AB(1)(b)). In ad</w:t>
      </w:r>
      <w:r w:rsidRPr="00FD274F">
        <w:t>dition, the delegator:</w:t>
      </w:r>
    </w:p>
    <w:p w14:paraId="2AAAB0DF" w14:textId="77777777" w:rsidR="00E86304" w:rsidRPr="00FD274F" w:rsidRDefault="00E86304" w:rsidP="00E86304">
      <w:pPr>
        <w:pStyle w:val="BodyPara"/>
      </w:pPr>
      <w:r w:rsidRPr="00FD274F">
        <w:t>will need to make a formal instrument of delegation specifying who can exercise the power being delegated; and</w:t>
      </w:r>
    </w:p>
    <w:p w14:paraId="715017B3" w14:textId="77777777" w:rsidR="00E86304" w:rsidRPr="00FD274F" w:rsidRDefault="00E86304" w:rsidP="00E86304">
      <w:pPr>
        <w:pStyle w:val="BodyPara"/>
      </w:pPr>
      <w:r w:rsidRPr="00FD274F">
        <w:t>may identify delegates by job title, by management level, by position number or by name (noting that doing so by name may necessitate regular updates); and</w:t>
      </w:r>
    </w:p>
    <w:p w14:paraId="28AA332D" w14:textId="77777777" w:rsidR="00E86304" w:rsidRPr="00FD274F" w:rsidRDefault="00E86304" w:rsidP="00E86304">
      <w:pPr>
        <w:pStyle w:val="BodyPara"/>
      </w:pPr>
      <w:r w:rsidRPr="00FD274F">
        <w:t>may wish to issue directions to delegates that apply in addition to the general obligations imposed by legislation</w:t>
      </w:r>
      <w:r>
        <w:t>,</w:t>
      </w:r>
      <w:r w:rsidRPr="00FD274F">
        <w:t xml:space="preserve"> including t</w:t>
      </w:r>
      <w:r w:rsidRPr="004B337C">
        <w:t xml:space="preserve">he </w:t>
      </w:r>
      <w:hyperlink r:id="rId197" w:history="1">
        <w:r w:rsidRPr="004B337C">
          <w:rPr>
            <w:rStyle w:val="Hyperlink"/>
          </w:rPr>
          <w:t>LA</w:t>
        </w:r>
      </w:hyperlink>
      <w:r w:rsidRPr="004B337C">
        <w:t>; an</w:t>
      </w:r>
      <w:r w:rsidRPr="00FD274F">
        <w:t>d</w:t>
      </w:r>
    </w:p>
    <w:p w14:paraId="247A16A6" w14:textId="77777777" w:rsidR="00E86304" w:rsidRPr="00FD274F" w:rsidRDefault="00E86304" w:rsidP="00E86304">
      <w:pPr>
        <w:pStyle w:val="BodyPara"/>
      </w:pPr>
      <w:r w:rsidRPr="00FD274F">
        <w:t>should review the instrument of delegation and any directions to delegates on a regular basis, to ensure that they remain appropriate and up</w:t>
      </w:r>
      <w:r>
        <w:t xml:space="preserve"> </w:t>
      </w:r>
      <w:r w:rsidRPr="00FD274F">
        <w:t>to</w:t>
      </w:r>
      <w:r>
        <w:t xml:space="preserve"> </w:t>
      </w:r>
      <w:r w:rsidRPr="00FD274F">
        <w:t>date.</w:t>
      </w:r>
    </w:p>
    <w:p w14:paraId="7AC394D9" w14:textId="77777777" w:rsidR="00E86304" w:rsidRPr="00FD274F" w:rsidRDefault="00E86304" w:rsidP="00E86304">
      <w:pPr>
        <w:pStyle w:val="BodyNum"/>
        <w:keepNext/>
        <w:keepLines/>
      </w:pPr>
      <w:r w:rsidRPr="00FD274F">
        <w:t>Instruments of delegation and any instructions issued to delegates are not normally required to be registered (</w:t>
      </w:r>
      <w:hyperlink r:id="rId198" w:history="1">
        <w:hyperlink r:id="rId199" w:history="1">
          <w:hyperlink r:id="rId200" w:history="1">
            <w:r w:rsidRPr="00CB5883">
              <w:rPr>
                <w:rStyle w:val="Hyperlink"/>
              </w:rPr>
              <w:t>LEOMR</w:t>
            </w:r>
          </w:hyperlink>
        </w:hyperlink>
      </w:hyperlink>
      <w:r w:rsidRPr="00CB5883">
        <w:t xml:space="preserve"> s 6(1) item 1) bu</w:t>
      </w:r>
      <w:r w:rsidRPr="00FD274F">
        <w:t>t are crucial to the legitimacy of any action taken in reliance on them. Consequently:</w:t>
      </w:r>
    </w:p>
    <w:p w14:paraId="3C325207" w14:textId="77777777" w:rsidR="00E86304" w:rsidRPr="00FD274F" w:rsidRDefault="00E86304" w:rsidP="00E86304">
      <w:pPr>
        <w:pStyle w:val="BodyPara"/>
      </w:pPr>
      <w:r w:rsidRPr="00FD274F">
        <w:t>agencies should maintain detailed records of their documents, including those that have been superseded; and</w:t>
      </w:r>
    </w:p>
    <w:p w14:paraId="7181A07F" w14:textId="77777777" w:rsidR="00E86304" w:rsidRDefault="00E86304" w:rsidP="00E86304">
      <w:pPr>
        <w:pStyle w:val="BodyPara"/>
      </w:pPr>
      <w:r w:rsidRPr="00FD274F">
        <w:t>delegates should review their documents on a regular basis to ensure that they are acting lawfully.</w:t>
      </w:r>
    </w:p>
    <w:p w14:paraId="14F70CB2" w14:textId="77777777" w:rsidR="00E86304" w:rsidRPr="001F1262" w:rsidRDefault="00E86304" w:rsidP="00E86304">
      <w:pPr>
        <w:pStyle w:val="Head4"/>
      </w:pPr>
      <w:r>
        <w:t>Legislative instruments that delegate power</w:t>
      </w:r>
    </w:p>
    <w:p w14:paraId="64AEB326" w14:textId="77777777" w:rsidR="00E86304" w:rsidRPr="00FD274F" w:rsidRDefault="00E86304" w:rsidP="00E86304">
      <w:pPr>
        <w:pStyle w:val="BodyNum"/>
      </w:pPr>
      <w:bookmarkStart w:id="70" w:name="_Ref369708785"/>
      <w:r w:rsidRPr="00FD274F">
        <w:rPr>
          <w:color w:val="000000"/>
        </w:rPr>
        <w:t xml:space="preserve">Special care is needed when a legislative instrument contains a delegation of power. The delegation must be </w:t>
      </w:r>
      <w:r w:rsidRPr="00FD274F">
        <w:t>within the scope permitted by the legislative framework and related case law. Specialist drafting assistance is recommended if the proposed delegation involves:</w:t>
      </w:r>
    </w:p>
    <w:p w14:paraId="1D1B9246" w14:textId="77777777" w:rsidR="00E86304" w:rsidRPr="00FD274F" w:rsidRDefault="00E86304" w:rsidP="00E86304">
      <w:pPr>
        <w:pStyle w:val="BodyPara"/>
      </w:pPr>
      <w:r w:rsidRPr="00FD274F">
        <w:t>a delegate who is outside the agency; or</w:t>
      </w:r>
    </w:p>
    <w:p w14:paraId="45C73643" w14:textId="77777777" w:rsidR="00E86304" w:rsidRPr="00FD274F" w:rsidRDefault="00E86304" w:rsidP="00E86304">
      <w:pPr>
        <w:pStyle w:val="BodyPara"/>
      </w:pPr>
      <w:r w:rsidRPr="00FD274F">
        <w:t>sub</w:t>
      </w:r>
      <w:r w:rsidRPr="00FD274F">
        <w:noBreakHyphen/>
        <w:t>delegation of the power to make an instrument that is, or is likely to be, a legislative instrument (</w:t>
      </w:r>
      <w:r w:rsidRPr="00E40EAB">
        <w:t>see paragraph</w:t>
      </w:r>
      <w:r>
        <w:t xml:space="preserve"> </w:t>
      </w:r>
      <w:r>
        <w:fldChar w:fldCharType="begin"/>
      </w:r>
      <w:r>
        <w:instrText xml:space="preserve"> REF _Ref184283711 \r \h </w:instrText>
      </w:r>
      <w:r>
        <w:fldChar w:fldCharType="separate"/>
      </w:r>
      <w:r>
        <w:t>36</w:t>
      </w:r>
      <w:r>
        <w:fldChar w:fldCharType="end"/>
      </w:r>
      <w:r w:rsidRPr="00E40EAB">
        <w:t>).</w:t>
      </w:r>
    </w:p>
    <w:p w14:paraId="06796FFA" w14:textId="77777777" w:rsidR="00E86304" w:rsidRPr="00FD274F" w:rsidRDefault="00E86304" w:rsidP="00E86304">
      <w:pPr>
        <w:pStyle w:val="BodyNum"/>
      </w:pPr>
      <w:bookmarkStart w:id="71" w:name="_Ref449608075"/>
      <w:r w:rsidRPr="00FD274F">
        <w:rPr>
          <w:color w:val="000000"/>
        </w:rPr>
        <w:t>Sub</w:t>
      </w:r>
      <w:r w:rsidRPr="00FD274F">
        <w:rPr>
          <w:color w:val="000000"/>
        </w:rPr>
        <w:noBreakHyphen/>
        <w:t>delegation of power has also been identified as an i</w:t>
      </w:r>
      <w:r w:rsidRPr="00FD274F">
        <w:t>ssue of concern to the Parliament (se</w:t>
      </w:r>
      <w:r w:rsidRPr="00E40EAB">
        <w:t xml:space="preserve">e </w:t>
      </w:r>
      <w:hyperlink w:anchor="Chapter9" w:history="1">
        <w:r w:rsidRPr="00E40EAB">
          <w:rPr>
            <w:rStyle w:val="Hyperlink"/>
          </w:rPr>
          <w:t xml:space="preserve">Chapter </w:t>
        </w:r>
        <w:r>
          <w:rPr>
            <w:rStyle w:val="Hyperlink"/>
          </w:rPr>
          <w:t>8</w:t>
        </w:r>
      </w:hyperlink>
      <w:r w:rsidRPr="00E40EAB">
        <w:t>) a</w:t>
      </w:r>
      <w:r w:rsidRPr="00FD274F">
        <w:t>nd is only acceptable if an instrument’s enabling legislation provides for this. Accordingly, if a legislative instrument provides for sub</w:t>
      </w:r>
      <w:r w:rsidRPr="00FD274F">
        <w:noBreakHyphen/>
        <w:t>delegation of power:</w:t>
      </w:r>
      <w:bookmarkEnd w:id="71"/>
    </w:p>
    <w:p w14:paraId="7BC96FCE" w14:textId="77777777" w:rsidR="00E86304" w:rsidRPr="00FD274F" w:rsidRDefault="00E86304" w:rsidP="00E86304">
      <w:pPr>
        <w:pStyle w:val="BodyPara"/>
      </w:pPr>
      <w:r w:rsidRPr="00FD274F">
        <w:t>the instrument’s explanatory statement should provide the authority for the sub</w:t>
      </w:r>
      <w:r w:rsidRPr="00FD274F">
        <w:noBreakHyphen/>
        <w:t>delegation, and describe the training, monitoring or other strategies being put in place to ensure that the sub</w:t>
      </w:r>
      <w:r w:rsidRPr="00FD274F">
        <w:noBreakHyphen/>
        <w:t>delegation is exercised with appropriate skill and care</w:t>
      </w:r>
      <w:bookmarkEnd w:id="70"/>
      <w:r w:rsidRPr="00FD274F">
        <w:t>; and</w:t>
      </w:r>
    </w:p>
    <w:p w14:paraId="79D3358F" w14:textId="77777777" w:rsidR="00E86304" w:rsidRPr="00FD274F" w:rsidRDefault="00E86304" w:rsidP="00E86304">
      <w:pPr>
        <w:pStyle w:val="BodyPara"/>
      </w:pPr>
      <w:bookmarkStart w:id="72" w:name="_Ref369883280"/>
      <w:r w:rsidRPr="00FD274F">
        <w:lastRenderedPageBreak/>
        <w:t>if a legislative instrument is made by a delegate, the instrument’s explanatory statement should describe how and when the power to make it was delegated to the rule</w:t>
      </w:r>
      <w:r w:rsidRPr="00FD274F">
        <w:noBreakHyphen/>
        <w:t>maker, and include an assurance and details of compliance with any directions to delegates that may apply.</w:t>
      </w:r>
      <w:bookmarkEnd w:id="72"/>
    </w:p>
    <w:p w14:paraId="36BA9561" w14:textId="77777777" w:rsidR="00E86304" w:rsidRPr="00FD274F" w:rsidRDefault="00E86304" w:rsidP="00E86304">
      <w:pPr>
        <w:pStyle w:val="Head3"/>
      </w:pPr>
      <w:bookmarkStart w:id="73" w:name="_Toc238117540"/>
      <w:r w:rsidRPr="00FD274F">
        <w:t>Offences, infringement notices and enforcement powers</w:t>
      </w:r>
      <w:bookmarkEnd w:id="73"/>
    </w:p>
    <w:p w14:paraId="2F016967" w14:textId="77777777" w:rsidR="00E86304" w:rsidRPr="00FD274F" w:rsidRDefault="00E86304" w:rsidP="00E86304">
      <w:pPr>
        <w:pStyle w:val="BodyNum"/>
      </w:pPr>
      <w:r w:rsidRPr="00FD274F">
        <w:t>If the Parliament has delegated the power to make an instrument prescribing criminal offences or infringement and enforcement provisions, care needs to be taken to ensure that the provisions are legally enforceable and consistent with Australian Government policy.</w:t>
      </w:r>
    </w:p>
    <w:p w14:paraId="643572FA" w14:textId="77777777" w:rsidR="00E86304" w:rsidRPr="00FD274F" w:rsidRDefault="00E86304" w:rsidP="00E86304">
      <w:pPr>
        <w:pStyle w:val="BodyNum"/>
      </w:pPr>
      <w:r w:rsidRPr="00FD274F">
        <w:t xml:space="preserve">Before seeking policy approval for such a provision, agencies should assess whether the proposal is consistent with the </w:t>
      </w:r>
      <w:r w:rsidRPr="000A7964">
        <w:t xml:space="preserve">AGD </w:t>
      </w:r>
      <w:r w:rsidRPr="000A7964">
        <w:rPr>
          <w:i/>
        </w:rPr>
        <w:t>Guide to Framing Commonwealth Offences, Infringement Notices and Enforcement Powers</w:t>
      </w:r>
      <w:r w:rsidRPr="000A7964">
        <w:rPr>
          <w:rStyle w:val="FootnoteReference"/>
        </w:rPr>
        <w:footnoteReference w:id="14"/>
      </w:r>
      <w:r>
        <w:t xml:space="preserve"> (the </w:t>
      </w:r>
      <w:r w:rsidRPr="00916682">
        <w:rPr>
          <w:b/>
          <w:i/>
        </w:rPr>
        <w:t>Guide</w:t>
      </w:r>
      <w:r>
        <w:t>)</w:t>
      </w:r>
      <w:r w:rsidRPr="000A7964">
        <w:t xml:space="preserve">. </w:t>
      </w:r>
      <w:r w:rsidRPr="006306BD">
        <w:t xml:space="preserve">Agencies should contact </w:t>
      </w:r>
      <w:proofErr w:type="spellStart"/>
      <w:r w:rsidRPr="006306BD">
        <w:t>AGD’s</w:t>
      </w:r>
      <w:proofErr w:type="spellEnd"/>
      <w:r w:rsidRPr="006306BD">
        <w:t xml:space="preserve"> Criminal Law Section via email at </w:t>
      </w:r>
      <w:hyperlink r:id="rId201" w:history="1">
        <w:r w:rsidRPr="006306BD">
          <w:rPr>
            <w:rStyle w:val="Hyperlink"/>
          </w:rPr>
          <w:t>CriminalLaw@ag.gov.au</w:t>
        </w:r>
      </w:hyperlink>
      <w:r w:rsidRPr="006306BD">
        <w:t xml:space="preserve"> if the proposal</w:t>
      </w:r>
      <w:r w:rsidRPr="00FD274F">
        <w:t>:</w:t>
      </w:r>
    </w:p>
    <w:p w14:paraId="7188C380" w14:textId="77777777" w:rsidR="00E86304" w:rsidRPr="00FD274F" w:rsidRDefault="00E86304" w:rsidP="00E86304">
      <w:pPr>
        <w:pStyle w:val="BodyPara"/>
      </w:pPr>
      <w:r w:rsidRPr="00FD274F">
        <w:t>contains novel or complex issues that the Guide does not address; or</w:t>
      </w:r>
    </w:p>
    <w:p w14:paraId="26C0E7CF" w14:textId="77777777" w:rsidR="00E86304" w:rsidRPr="00FD274F" w:rsidRDefault="00E86304" w:rsidP="00E86304">
      <w:pPr>
        <w:pStyle w:val="BodyPara"/>
      </w:pPr>
      <w:r w:rsidRPr="00FD274F">
        <w:t>departs significantly from the principles in the Guide.</w:t>
      </w:r>
    </w:p>
    <w:p w14:paraId="5189AFAA" w14:textId="77777777" w:rsidR="00E86304" w:rsidRPr="00FD274F" w:rsidRDefault="00E86304" w:rsidP="00E86304">
      <w:pPr>
        <w:pStyle w:val="BodyNum"/>
      </w:pPr>
      <w:r w:rsidRPr="00FD274F">
        <w:t xml:space="preserve">Further guidance on related matters can be found in </w:t>
      </w:r>
      <w:hyperlink r:id="rId202" w:history="1">
        <w:proofErr w:type="spellStart"/>
        <w:r w:rsidRPr="00BC7C81">
          <w:rPr>
            <w:rStyle w:val="Hyperlink"/>
          </w:rPr>
          <w:t>OPC</w:t>
        </w:r>
        <w:proofErr w:type="spellEnd"/>
        <w:r w:rsidRPr="00BC7C81">
          <w:rPr>
            <w:rStyle w:val="Hyperlink"/>
          </w:rPr>
          <w:t xml:space="preserve"> Drafting Direction 3.5</w:t>
        </w:r>
      </w:hyperlink>
      <w:r w:rsidRPr="00BC7C81">
        <w:t>.</w:t>
      </w:r>
    </w:p>
    <w:p w14:paraId="2A24E0D4" w14:textId="77777777" w:rsidR="00E86304" w:rsidRPr="00FD274F" w:rsidRDefault="00E86304" w:rsidP="00E86304">
      <w:pPr>
        <w:pStyle w:val="Head3"/>
      </w:pPr>
      <w:bookmarkStart w:id="74" w:name="_Toc238117541"/>
      <w:r w:rsidRPr="00FD274F">
        <w:t>Gender</w:t>
      </w:r>
      <w:r>
        <w:noBreakHyphen/>
      </w:r>
      <w:r w:rsidRPr="00FD274F">
        <w:t>specific and gender</w:t>
      </w:r>
      <w:r>
        <w:noBreakHyphen/>
      </w:r>
      <w:r w:rsidRPr="00FD274F">
        <w:t>neutral language</w:t>
      </w:r>
      <w:bookmarkEnd w:id="74"/>
    </w:p>
    <w:p w14:paraId="63D1F736" w14:textId="77777777" w:rsidR="00E86304" w:rsidRPr="00FD274F" w:rsidRDefault="00E86304" w:rsidP="00E86304">
      <w:pPr>
        <w:pStyle w:val="BodyNum"/>
      </w:pPr>
      <w:r w:rsidRPr="00FD274F">
        <w:t>In exercising the power to make a legislative instrument in relation to a matter, it is generally important to use gender</w:t>
      </w:r>
      <w:r>
        <w:noBreakHyphen/>
      </w:r>
      <w:r w:rsidRPr="00FD274F">
        <w:t>neutral language. Language that might be reasonably seen to imply a single gender should be avoided, unless:</w:t>
      </w:r>
    </w:p>
    <w:p w14:paraId="0905B66D" w14:textId="77777777" w:rsidR="00E86304" w:rsidRPr="00FD274F" w:rsidRDefault="00E86304" w:rsidP="00E86304">
      <w:pPr>
        <w:pStyle w:val="BodyPara"/>
      </w:pPr>
      <w:r w:rsidRPr="00FD274F">
        <w:t>the instrument is intended to apply only to people of one sex; or</w:t>
      </w:r>
    </w:p>
    <w:p w14:paraId="3B3424FA" w14:textId="77777777" w:rsidR="00E86304" w:rsidRPr="00FD274F" w:rsidRDefault="00E86304" w:rsidP="00E86304">
      <w:pPr>
        <w:pStyle w:val="BodyPara"/>
      </w:pPr>
      <w:r w:rsidRPr="00FD274F">
        <w:t>it is important to use a particular term for consistency</w:t>
      </w:r>
      <w:r>
        <w:t xml:space="preserve"> with the enabling legislation.</w:t>
      </w:r>
    </w:p>
    <w:p w14:paraId="5A7B5932" w14:textId="77777777" w:rsidR="00E86304" w:rsidRPr="00FD274F" w:rsidRDefault="00E86304" w:rsidP="00E86304">
      <w:pPr>
        <w:pStyle w:val="BodyNum"/>
      </w:pPr>
      <w:r w:rsidRPr="00FD274F">
        <w:t>Inappropriate use of gender</w:t>
      </w:r>
      <w:r>
        <w:noBreakHyphen/>
      </w:r>
      <w:r w:rsidRPr="00FD274F">
        <w:t>specific language is clearly identified in th</w:t>
      </w:r>
      <w:r w:rsidRPr="004B337C">
        <w:t xml:space="preserve">e </w:t>
      </w:r>
      <w:hyperlink r:id="rId203" w:history="1">
        <w:r w:rsidRPr="004B337C">
          <w:rPr>
            <w:rStyle w:val="Hyperlink"/>
          </w:rPr>
          <w:t>LA</w:t>
        </w:r>
      </w:hyperlink>
      <w:r w:rsidRPr="004B337C">
        <w:rPr>
          <w:rStyle w:val="Hyperlink"/>
        </w:rPr>
        <w:t xml:space="preserve"> </w:t>
      </w:r>
      <w:r w:rsidRPr="004B337C">
        <w:t>as</w:t>
      </w:r>
      <w:r w:rsidRPr="00FD274F">
        <w:t xml:space="preserve"> undesirable. Under </w:t>
      </w:r>
      <w:r w:rsidRPr="004B337C">
        <w:t xml:space="preserve">section 16 of the </w:t>
      </w:r>
      <w:hyperlink r:id="rId204" w:history="1">
        <w:r w:rsidRPr="004B337C">
          <w:rPr>
            <w:rStyle w:val="Hyperlink"/>
          </w:rPr>
          <w:t>LA</w:t>
        </w:r>
      </w:hyperlink>
      <w:r w:rsidRPr="004B337C">
        <w:t>,</w:t>
      </w:r>
      <w:r w:rsidRPr="00FD274F">
        <w:t xml:space="preserve"> the First Parliamentary Counsel is required to take steps to prevent the inappropriate use of gender</w:t>
      </w:r>
      <w:r>
        <w:noBreakHyphen/>
      </w:r>
      <w:r w:rsidRPr="00FD274F">
        <w:t>specific language in legislative instruments, and to notify both the rule</w:t>
      </w:r>
      <w:r>
        <w:noBreakHyphen/>
      </w:r>
      <w:r w:rsidRPr="00FD274F">
        <w:t>maker and the Parliament of any instances that may be identified.</w:t>
      </w:r>
    </w:p>
    <w:p w14:paraId="4919ACDA" w14:textId="77777777" w:rsidR="00E86304" w:rsidRPr="00FD274F" w:rsidRDefault="00E86304" w:rsidP="00E86304">
      <w:pPr>
        <w:pStyle w:val="BodyNum"/>
      </w:pPr>
      <w:r w:rsidRPr="00FD274F">
        <w:t>Further guidance on what constitutes gender</w:t>
      </w:r>
      <w:r>
        <w:noBreakHyphen/>
      </w:r>
      <w:r w:rsidRPr="00FD274F">
        <w:t>specific and gender</w:t>
      </w:r>
      <w:r>
        <w:noBreakHyphen/>
      </w:r>
      <w:r w:rsidRPr="00FD274F">
        <w:t>neutral language can be fou</w:t>
      </w:r>
      <w:r w:rsidRPr="00961F7C">
        <w:t xml:space="preserve">nd in </w:t>
      </w:r>
      <w:hyperlink r:id="rId205" w:history="1">
        <w:proofErr w:type="spellStart"/>
        <w:r w:rsidRPr="00961F7C">
          <w:rPr>
            <w:rStyle w:val="Hyperlink"/>
          </w:rPr>
          <w:t>OPC</w:t>
        </w:r>
        <w:proofErr w:type="spellEnd"/>
        <w:r w:rsidRPr="00961F7C">
          <w:rPr>
            <w:rStyle w:val="Hyperlink"/>
          </w:rPr>
          <w:t xml:space="preserve"> Drafting Direction 2.1</w:t>
        </w:r>
      </w:hyperlink>
      <w:r w:rsidRPr="00FD274F">
        <w:t>.</w:t>
      </w:r>
    </w:p>
    <w:p w14:paraId="7909114A" w14:textId="77777777" w:rsidR="00E86304" w:rsidRPr="00FD274F" w:rsidRDefault="00E86304" w:rsidP="00E86304">
      <w:pPr>
        <w:pStyle w:val="Head3"/>
      </w:pPr>
      <w:bookmarkStart w:id="75" w:name="_Toc238117542"/>
      <w:bookmarkStart w:id="76" w:name="_Ref422930454"/>
      <w:r>
        <w:t>Security</w:t>
      </w:r>
      <w:bookmarkEnd w:id="75"/>
    </w:p>
    <w:p w14:paraId="6BE94BE0" w14:textId="77777777" w:rsidR="00E86304" w:rsidRDefault="00E86304" w:rsidP="00E86304">
      <w:pPr>
        <w:pStyle w:val="BodyNum"/>
      </w:pPr>
      <w:r w:rsidRPr="00FD274F">
        <w:t>When it comes to the content of an instrument and related documents, rule</w:t>
      </w:r>
      <w:r>
        <w:noBreakHyphen/>
      </w:r>
      <w:r w:rsidRPr="00FD274F">
        <w:t xml:space="preserve">makers need to exercise care and judgement in deciding what level of detail to include. For example, </w:t>
      </w:r>
      <w:r w:rsidRPr="00FD274F">
        <w:lastRenderedPageBreak/>
        <w:t>it may not be necessary or appropriate to disclose</w:t>
      </w:r>
      <w:r>
        <w:t xml:space="preserve"> </w:t>
      </w:r>
      <w:r w:rsidRPr="00F11E8B">
        <w:t xml:space="preserve">information that would be assessed as requiring protection and assigned a </w:t>
      </w:r>
      <w:r w:rsidRPr="00BA4F47">
        <w:t>security classification or protective markings</w:t>
      </w:r>
      <w:r w:rsidRPr="00BA4F47">
        <w:rPr>
          <w:rStyle w:val="FootnoteReference"/>
          <w:rFonts w:eastAsia="Calibri"/>
        </w:rPr>
        <w:footnoteReference w:id="15"/>
      </w:r>
      <w:r w:rsidRPr="00BA4F47">
        <w:t>.</w:t>
      </w:r>
    </w:p>
    <w:p w14:paraId="7010C449" w14:textId="77777777" w:rsidR="00E86304" w:rsidRDefault="00E86304" w:rsidP="00E86304">
      <w:pPr>
        <w:pStyle w:val="Head3"/>
      </w:pPr>
      <w:bookmarkStart w:id="77" w:name="_Toc238117543"/>
      <w:r>
        <w:t>Privacy</w:t>
      </w:r>
      <w:bookmarkEnd w:id="77"/>
    </w:p>
    <w:p w14:paraId="4E4724B9" w14:textId="77777777" w:rsidR="00E86304" w:rsidRDefault="00E86304" w:rsidP="00E86304">
      <w:pPr>
        <w:pStyle w:val="BodyNum"/>
      </w:pPr>
      <w:r>
        <w:t xml:space="preserve">Rule-makers are bound by the </w:t>
      </w:r>
      <w:hyperlink r:id="rId206" w:history="1">
        <w:r w:rsidRPr="002E3F8C">
          <w:rPr>
            <w:rStyle w:val="Hyperlink"/>
            <w:i/>
          </w:rPr>
          <w:t>Privacy Act 1988</w:t>
        </w:r>
      </w:hyperlink>
      <w:r w:rsidRPr="002E3F8C">
        <w:rPr>
          <w:i/>
        </w:rPr>
        <w:t xml:space="preserve"> </w:t>
      </w:r>
      <w:r>
        <w:t xml:space="preserve">and the Australian Privacy Principles within the Act in relation to handling, use and management of personal information. Rule-makers need to exercise care and judgement in deciding what level of detail to include in an instrument and related documents. </w:t>
      </w:r>
      <w:r w:rsidRPr="00FD274F">
        <w:t>For example, it may not be necessary or appropriate to disclose</w:t>
      </w:r>
      <w:r>
        <w:t xml:space="preserve"> </w:t>
      </w:r>
      <w:r w:rsidRPr="00F11E8B">
        <w:t xml:space="preserve">information </w:t>
      </w:r>
      <w:r w:rsidRPr="00FD274F">
        <w:t>such as a person’s home address</w:t>
      </w:r>
      <w:r>
        <w:t xml:space="preserve"> as </w:t>
      </w:r>
      <w:r w:rsidRPr="00FD274F">
        <w:t xml:space="preserve">this may breach the </w:t>
      </w:r>
      <w:hyperlink r:id="rId207" w:history="1">
        <w:r w:rsidRPr="00160CB3">
          <w:rPr>
            <w:rStyle w:val="Hyperlink"/>
            <w:i/>
          </w:rPr>
          <w:t>Privacy Act 1988</w:t>
        </w:r>
      </w:hyperlink>
      <w:r w:rsidRPr="00160CB3">
        <w:rPr>
          <w:i/>
        </w:rPr>
        <w:t xml:space="preserve"> </w:t>
      </w:r>
      <w:r w:rsidRPr="00961F7C">
        <w:t>and raise safe</w:t>
      </w:r>
      <w:r w:rsidRPr="00FD274F">
        <w:t>ty issues, although it may still be desirable to find some other way to identify a person unambiguously so as to minimise unintended consequences for other people with the same name.</w:t>
      </w:r>
    </w:p>
    <w:p w14:paraId="1A589EF5" w14:textId="77777777" w:rsidR="00E86304" w:rsidRPr="007D7DEF" w:rsidRDefault="00E86304" w:rsidP="00E86304">
      <w:pPr>
        <w:pStyle w:val="BodyNum"/>
        <w:rPr>
          <w:rStyle w:val="Hyperlink"/>
          <w:color w:val="auto"/>
        </w:rPr>
      </w:pPr>
      <w:r w:rsidRPr="00B74849">
        <w:t xml:space="preserve">Section </w:t>
      </w:r>
      <w:r>
        <w:t>15</w:t>
      </w:r>
      <w:r w:rsidRPr="00B74849">
        <w:t xml:space="preserve"> of the </w:t>
      </w:r>
      <w:hyperlink r:id="rId208" w:history="1">
        <w:r w:rsidRPr="00001937">
          <w:rPr>
            <w:rStyle w:val="Hyperlink"/>
          </w:rPr>
          <w:t>LR</w:t>
        </w:r>
      </w:hyperlink>
      <w:r>
        <w:t xml:space="preserve"> </w:t>
      </w:r>
      <w:r w:rsidRPr="00B74849">
        <w:rPr>
          <w:rStyle w:val="Hyperlink"/>
          <w:color w:val="auto"/>
          <w:spacing w:val="-6"/>
        </w:rPr>
        <w:t xml:space="preserve">provides that </w:t>
      </w:r>
      <w:r>
        <w:rPr>
          <w:rStyle w:val="Hyperlink"/>
          <w:color w:val="auto"/>
          <w:spacing w:val="-6"/>
        </w:rPr>
        <w:t xml:space="preserve">the </w:t>
      </w:r>
      <w:r w:rsidRPr="00B74849">
        <w:rPr>
          <w:rStyle w:val="Hyperlink"/>
          <w:color w:val="auto"/>
          <w:spacing w:val="-6"/>
        </w:rPr>
        <w:t xml:space="preserve">First Parliamentary Counsel may redact personal information (within the meaning of the </w:t>
      </w:r>
      <w:hyperlink r:id="rId209" w:history="1">
        <w:r w:rsidRPr="00160CB3">
          <w:rPr>
            <w:rStyle w:val="Hyperlink"/>
            <w:i/>
          </w:rPr>
          <w:t>Privacy Act 1988</w:t>
        </w:r>
      </w:hyperlink>
      <w:r w:rsidRPr="00B74849">
        <w:rPr>
          <w:rStyle w:val="Hyperlink"/>
          <w:color w:val="auto"/>
          <w:spacing w:val="-6"/>
        </w:rPr>
        <w:t>) from a document on the Register, other than a</w:t>
      </w:r>
      <w:r>
        <w:rPr>
          <w:rStyle w:val="Hyperlink"/>
          <w:color w:val="auto"/>
          <w:spacing w:val="-6"/>
        </w:rPr>
        <w:t>n Act, a</w:t>
      </w:r>
      <w:r w:rsidRPr="00B74849">
        <w:rPr>
          <w:rStyle w:val="Hyperlink"/>
          <w:color w:val="auto"/>
          <w:spacing w:val="-6"/>
        </w:rPr>
        <w:t xml:space="preserve"> legislative </w:t>
      </w:r>
      <w:r>
        <w:rPr>
          <w:rStyle w:val="Hyperlink"/>
          <w:color w:val="auto"/>
          <w:spacing w:val="-6"/>
        </w:rPr>
        <w:t xml:space="preserve">instrument </w:t>
      </w:r>
      <w:r w:rsidRPr="00B74849">
        <w:rPr>
          <w:rStyle w:val="Hyperlink"/>
          <w:color w:val="auto"/>
          <w:spacing w:val="-6"/>
        </w:rPr>
        <w:t>or</w:t>
      </w:r>
      <w:r>
        <w:rPr>
          <w:rStyle w:val="Hyperlink"/>
          <w:color w:val="auto"/>
          <w:spacing w:val="-6"/>
        </w:rPr>
        <w:t xml:space="preserve"> a</w:t>
      </w:r>
      <w:r w:rsidRPr="00B74849">
        <w:rPr>
          <w:rStyle w:val="Hyperlink"/>
          <w:color w:val="auto"/>
          <w:spacing w:val="-6"/>
        </w:rPr>
        <w:t xml:space="preserve"> notifiable instrument.</w:t>
      </w:r>
    </w:p>
    <w:p w14:paraId="54D6D6FF" w14:textId="77777777" w:rsidR="00E86304" w:rsidRDefault="00E86304" w:rsidP="00E86304">
      <w:pPr>
        <w:pStyle w:val="BodyNum"/>
      </w:pPr>
      <w:r>
        <w:t xml:space="preserve">However, it is preferable to deal with potential privacy issues well in advance of registration. </w:t>
      </w:r>
      <w:r w:rsidRPr="00FD274F">
        <w:t xml:space="preserve">If your agency has </w:t>
      </w:r>
      <w:r>
        <w:t xml:space="preserve">any </w:t>
      </w:r>
      <w:r w:rsidRPr="00FD274F">
        <w:t xml:space="preserve">concerns, please contact </w:t>
      </w:r>
      <w:proofErr w:type="spellStart"/>
      <w:r w:rsidRPr="00FD274F">
        <w:t>OPC</w:t>
      </w:r>
      <w:proofErr w:type="spellEnd"/>
      <w:r w:rsidRPr="00FD274F">
        <w:t xml:space="preserve"> (</w:t>
      </w:r>
      <w:hyperlink r:id="rId210" w:history="1">
        <w:hyperlink r:id="rId211" w:history="1">
          <w:r w:rsidRPr="00FD274F">
            <w:rPr>
              <w:rStyle w:val="Hyperlink"/>
              <w:rFonts w:eastAsiaTheme="minorHAnsi"/>
              <w:szCs w:val="24"/>
              <w:lang w:eastAsia="en-US"/>
            </w:rPr>
            <w:t>lodge@legislation.gov.au</w:t>
          </w:r>
        </w:hyperlink>
      </w:hyperlink>
      <w:r>
        <w:rPr>
          <w:szCs w:val="24"/>
        </w:rPr>
        <w:t xml:space="preserve"> </w:t>
      </w:r>
      <w:r w:rsidRPr="00FD274F">
        <w:rPr>
          <w:color w:val="000000"/>
          <w:spacing w:val="-2"/>
          <w:szCs w:val="24"/>
        </w:rPr>
        <w:t xml:space="preserve">or (02) </w:t>
      </w:r>
      <w:r w:rsidRPr="00FD274F">
        <w:rPr>
          <w:spacing w:val="-2"/>
          <w:szCs w:val="24"/>
        </w:rPr>
        <w:t>6120 1350</w:t>
      </w:r>
      <w:r>
        <w:rPr>
          <w:spacing w:val="-2"/>
          <w:szCs w:val="24"/>
        </w:rPr>
        <w:t>)</w:t>
      </w:r>
      <w:r>
        <w:rPr>
          <w:szCs w:val="24"/>
        </w:rPr>
        <w:t xml:space="preserve"> </w:t>
      </w:r>
      <w:r w:rsidRPr="00FD274F">
        <w:t>to discuss the issues and options.</w:t>
      </w:r>
    </w:p>
    <w:p w14:paraId="5102E51A" w14:textId="77777777" w:rsidR="00E86304" w:rsidRPr="00FD274F" w:rsidRDefault="00E86304" w:rsidP="00E86304">
      <w:pPr>
        <w:pStyle w:val="Head3"/>
      </w:pPr>
      <w:bookmarkStart w:id="78" w:name="_Toc238117544"/>
      <w:r>
        <w:t>Copyright</w:t>
      </w:r>
      <w:bookmarkEnd w:id="78"/>
    </w:p>
    <w:p w14:paraId="771C08EF" w14:textId="77777777" w:rsidR="00E86304" w:rsidRPr="00FD274F" w:rsidRDefault="00E86304" w:rsidP="00E86304">
      <w:pPr>
        <w:pStyle w:val="BodyNum"/>
      </w:pPr>
      <w:r w:rsidRPr="00FD274F">
        <w:t>A copyright notice should only be included in an instrument or related document if this is essential to acknowledge the intellectual property (IP) rights of a third party, and if the legal and other implications of reusing this IP has been carefully considered. For more information on copyright of registered content, se</w:t>
      </w:r>
      <w:r w:rsidRPr="00655352">
        <w:t xml:space="preserve">e paragraph </w:t>
      </w:r>
      <w:r w:rsidRPr="004B337C">
        <w:fldChar w:fldCharType="begin"/>
      </w:r>
      <w:r w:rsidRPr="00655352">
        <w:instrText xml:space="preserve"> REF _Ref474413213 \r \h  \* MERGEFORMAT </w:instrText>
      </w:r>
      <w:r w:rsidRPr="004B337C">
        <w:fldChar w:fldCharType="separate"/>
      </w:r>
      <w:r>
        <w:t>199</w:t>
      </w:r>
      <w:r w:rsidRPr="004B337C">
        <w:fldChar w:fldCharType="end"/>
      </w:r>
      <w:r w:rsidRPr="00655352">
        <w:t>.</w:t>
      </w:r>
    </w:p>
    <w:p w14:paraId="098FA7A6" w14:textId="77777777" w:rsidR="00E86304" w:rsidRPr="00FD274F" w:rsidRDefault="00E86304" w:rsidP="00E86304">
      <w:pPr>
        <w:pStyle w:val="Head3"/>
      </w:pPr>
      <w:bookmarkStart w:id="79" w:name="_Toc238117545"/>
      <w:bookmarkEnd w:id="76"/>
      <w:r w:rsidRPr="00FD274F">
        <w:t>Technical considerations</w:t>
      </w:r>
      <w:bookmarkEnd w:id="79"/>
    </w:p>
    <w:p w14:paraId="671F314B" w14:textId="77777777" w:rsidR="00E86304" w:rsidRPr="001F1262" w:rsidRDefault="00E86304" w:rsidP="00E86304">
      <w:pPr>
        <w:pStyle w:val="Head4"/>
      </w:pPr>
      <w:bookmarkStart w:id="80" w:name="_Ref367446139"/>
      <w:r>
        <w:t>Accessibility</w:t>
      </w:r>
    </w:p>
    <w:p w14:paraId="32B2E79C" w14:textId="77777777" w:rsidR="00E86304" w:rsidRDefault="00E86304" w:rsidP="00E86304">
      <w:pPr>
        <w:pStyle w:val="BodyNum"/>
      </w:pPr>
      <w:bookmarkStart w:id="81" w:name="_Ref185322055"/>
      <w:bookmarkEnd w:id="80"/>
      <w:r>
        <w:t xml:space="preserve">Given their legal nature, it is essential that all registered documents are accessible to the widest range of users, including people who may rely on assistive technology such as screen readers. This is a requirement of the </w:t>
      </w:r>
      <w:hyperlink r:id="rId212" w:history="1">
        <w:r>
          <w:rPr>
            <w:rStyle w:val="Hyperlink"/>
            <w:i/>
            <w:iCs/>
          </w:rPr>
          <w:t>Disability Discrimination Act 1992</w:t>
        </w:r>
      </w:hyperlink>
      <w:r>
        <w:t>—see section 29 of that Act in particular on the administration of Commonwealth laws and programs.</w:t>
      </w:r>
      <w:bookmarkEnd w:id="81"/>
    </w:p>
    <w:p w14:paraId="146C0B97" w14:textId="77777777" w:rsidR="00E86304" w:rsidRDefault="00E86304" w:rsidP="00E86304">
      <w:pPr>
        <w:pStyle w:val="BodyNum"/>
      </w:pPr>
      <w:r>
        <w:t xml:space="preserve">In addition, in the Data and Digital Government Strategy, the Australian Government has committed to ensuring all websites and services meet the latest </w:t>
      </w:r>
      <w:hyperlink r:id="rId213" w:history="1">
        <w:r>
          <w:rPr>
            <w:rStyle w:val="Hyperlink"/>
          </w:rPr>
          <w:t>Web Content Accessibility Guidelines</w:t>
        </w:r>
      </w:hyperlink>
      <w:r>
        <w:t>. Agencies should consider whether their documents meet accessibility requirements.</w:t>
      </w:r>
    </w:p>
    <w:p w14:paraId="10055103" w14:textId="77777777" w:rsidR="00E86304" w:rsidRPr="001F1262" w:rsidRDefault="00E86304" w:rsidP="00E86304">
      <w:pPr>
        <w:pStyle w:val="Head4"/>
      </w:pPr>
      <w:r>
        <w:t>Word or RTF format</w:t>
      </w:r>
    </w:p>
    <w:p w14:paraId="37019990" w14:textId="77777777" w:rsidR="00E86304" w:rsidRPr="00961F7C" w:rsidRDefault="00E86304" w:rsidP="00E86304">
      <w:pPr>
        <w:pStyle w:val="BodyNum"/>
      </w:pPr>
      <w:r w:rsidRPr="00277385">
        <w:t xml:space="preserve">To ensure that documents are searchable and can be read by a wide range of devices, all documents must be supplied to </w:t>
      </w:r>
      <w:proofErr w:type="spellStart"/>
      <w:r w:rsidRPr="00277385">
        <w:t>OPC</w:t>
      </w:r>
      <w:proofErr w:type="spellEnd"/>
      <w:r w:rsidRPr="00277385">
        <w:t xml:space="preserve"> in </w:t>
      </w:r>
      <w:r>
        <w:t>RTF, DOC or DOCX format</w:t>
      </w:r>
      <w:r w:rsidRPr="00277385">
        <w:t>, unless the First Parliamentary Counsel has agreed otherwi</w:t>
      </w:r>
      <w:r w:rsidRPr="00961F7C">
        <w:t>se (</w:t>
      </w:r>
      <w:hyperlink r:id="rId214" w:history="1">
        <w:r w:rsidRPr="00001937">
          <w:rPr>
            <w:rStyle w:val="Hyperlink"/>
          </w:rPr>
          <w:t>LR</w:t>
        </w:r>
      </w:hyperlink>
      <w:r w:rsidRPr="00961F7C">
        <w:t xml:space="preserve"> s </w:t>
      </w:r>
      <w:r>
        <w:t>6</w:t>
      </w:r>
      <w:r w:rsidRPr="00961F7C">
        <w:t>(3)).</w:t>
      </w:r>
      <w:r w:rsidRPr="00277385">
        <w:t xml:space="preserve"> This ensures documents can be </w:t>
      </w:r>
      <w:r w:rsidRPr="00277385">
        <w:lastRenderedPageBreak/>
        <w:t>indexed and offered to users in a choice of file formats. For more information on current formats, s</w:t>
      </w:r>
      <w:r w:rsidRPr="00961F7C">
        <w:t>ee</w:t>
      </w:r>
      <w:r>
        <w:t xml:space="preserve"> the </w:t>
      </w:r>
      <w:hyperlink r:id="rId215" w:history="1">
        <w:r w:rsidRPr="00194060">
          <w:rPr>
            <w:rStyle w:val="Hyperlink"/>
          </w:rPr>
          <w:t>terms of use on the Federal Register of Legislation</w:t>
        </w:r>
      </w:hyperlink>
      <w:r w:rsidRPr="00961F7C">
        <w:t>.</w:t>
      </w:r>
    </w:p>
    <w:p w14:paraId="536CE900" w14:textId="77777777" w:rsidR="00E86304" w:rsidRPr="001F1262" w:rsidRDefault="00E86304" w:rsidP="00E86304">
      <w:pPr>
        <w:pStyle w:val="Head4"/>
      </w:pPr>
      <w:r>
        <w:t>Alternative text</w:t>
      </w:r>
    </w:p>
    <w:p w14:paraId="14338DFA" w14:textId="77777777" w:rsidR="00E86304" w:rsidRPr="00277385" w:rsidRDefault="00E86304" w:rsidP="00E86304">
      <w:pPr>
        <w:pStyle w:val="BodyNum"/>
      </w:pPr>
      <w:r w:rsidRPr="00277385">
        <w:t>To meet accessibility requirements, alt text (short for “alternative text”) should be applied to any images contained in the document, including formulas. Alt text is a short textual description of the image that is not visible on the face of the relevant document but, instead, sits in the properties of the image.</w:t>
      </w:r>
    </w:p>
    <w:p w14:paraId="18DA75A8" w14:textId="77777777" w:rsidR="00E86304" w:rsidRPr="00277385" w:rsidRDefault="00E86304" w:rsidP="00E86304">
      <w:pPr>
        <w:pStyle w:val="BodyNum"/>
      </w:pPr>
      <w:r w:rsidRPr="00277385">
        <w:t>It is important to include alt text because screen readers (mentioned in pa</w:t>
      </w:r>
      <w:r w:rsidRPr="00655352">
        <w:t>ragraph</w:t>
      </w:r>
      <w:r>
        <w:t xml:space="preserve"> </w:t>
      </w:r>
      <w:r>
        <w:fldChar w:fldCharType="begin"/>
      </w:r>
      <w:r>
        <w:instrText xml:space="preserve"> REF _Ref185322055 \r \h </w:instrText>
      </w:r>
      <w:r>
        <w:fldChar w:fldCharType="separate"/>
      </w:r>
      <w:r>
        <w:t>118</w:t>
      </w:r>
      <w:r>
        <w:fldChar w:fldCharType="end"/>
      </w:r>
      <w:r>
        <w:t xml:space="preserve"> </w:t>
      </w:r>
      <w:r w:rsidRPr="00655352">
        <w:t>ab</w:t>
      </w:r>
      <w:r>
        <w:t>ove</w:t>
      </w:r>
      <w:r w:rsidRPr="00655352">
        <w:t>)</w:t>
      </w:r>
      <w:r w:rsidRPr="00277385">
        <w:t xml:space="preserve"> rely on the alt text description. More information on alt text, including examples and guidance on what alt text to include, can be </w:t>
      </w:r>
      <w:r w:rsidRPr="00961F7C">
        <w:t xml:space="preserve">found in </w:t>
      </w:r>
      <w:hyperlink r:id="rId216" w:history="1">
        <w:proofErr w:type="spellStart"/>
        <w:r w:rsidRPr="00961F7C">
          <w:rPr>
            <w:rStyle w:val="Hyperlink"/>
          </w:rPr>
          <w:t>OPC</w:t>
        </w:r>
        <w:proofErr w:type="spellEnd"/>
        <w:r w:rsidRPr="00961F7C">
          <w:rPr>
            <w:rStyle w:val="Hyperlink"/>
          </w:rPr>
          <w:t xml:space="preserve"> Drafting Direction 1.9</w:t>
        </w:r>
      </w:hyperlink>
      <w:r>
        <w:t>.</w:t>
      </w:r>
    </w:p>
    <w:p w14:paraId="0FE06C9A" w14:textId="77777777" w:rsidR="00E86304" w:rsidRPr="005D3FE1" w:rsidRDefault="00E86304" w:rsidP="00E86304">
      <w:pPr>
        <w:pStyle w:val="BodyNum"/>
        <w:rPr>
          <w:szCs w:val="24"/>
        </w:rPr>
      </w:pPr>
      <w:r>
        <w:t xml:space="preserve"> An additional service fee will apply if </w:t>
      </w:r>
      <w:proofErr w:type="spellStart"/>
      <w:r>
        <w:t>OPC</w:t>
      </w:r>
      <w:proofErr w:type="spellEnd"/>
      <w:r>
        <w:t xml:space="preserve"> is required to add alt text to any images or objects. See </w:t>
      </w:r>
      <w:r w:rsidRPr="00FD274F">
        <w:t xml:space="preserve">paragraph </w:t>
      </w:r>
      <w:r w:rsidRPr="00FD274F">
        <w:fldChar w:fldCharType="begin"/>
      </w:r>
      <w:r w:rsidRPr="00FD274F">
        <w:instrText xml:space="preserve"> REF _Ref434314290 \r \h  \* MERGEFORMAT </w:instrText>
      </w:r>
      <w:r w:rsidRPr="00FD274F">
        <w:fldChar w:fldCharType="separate"/>
      </w:r>
      <w:r>
        <w:t>162</w:t>
      </w:r>
      <w:r w:rsidRPr="00FD274F">
        <w:fldChar w:fldCharType="end"/>
      </w:r>
      <w:r w:rsidRPr="00FE5134">
        <w:t xml:space="preserve"> for furt</w:t>
      </w:r>
      <w:r>
        <w:t xml:space="preserve">her information on </w:t>
      </w:r>
      <w:proofErr w:type="spellStart"/>
      <w:r>
        <w:t>OPC’s</w:t>
      </w:r>
      <w:proofErr w:type="spellEnd"/>
      <w:r>
        <w:t xml:space="preserve"> special requirement and additional services fees.</w:t>
      </w:r>
    </w:p>
    <w:p w14:paraId="2FB2F6C2" w14:textId="77777777" w:rsidR="00E86304" w:rsidRPr="001F1262" w:rsidRDefault="00E86304" w:rsidP="00E86304">
      <w:pPr>
        <w:pStyle w:val="Head4"/>
      </w:pPr>
      <w:r>
        <w:t>Dynamic content</w:t>
      </w:r>
    </w:p>
    <w:p w14:paraId="7FB14DC2" w14:textId="77777777" w:rsidR="00E86304" w:rsidRDefault="00E86304" w:rsidP="00E86304">
      <w:pPr>
        <w:pStyle w:val="BodyNum"/>
      </w:pPr>
      <w:r>
        <w:t xml:space="preserve">To ensure the accuracy of the Register (see </w:t>
      </w:r>
      <w:hyperlink r:id="rId217" w:history="1">
        <w:r w:rsidRPr="00C429A4">
          <w:rPr>
            <w:rStyle w:val="Hyperlink"/>
          </w:rPr>
          <w:t>LA</w:t>
        </w:r>
      </w:hyperlink>
      <w:r>
        <w:t xml:space="preserve"> s 15B), d</w:t>
      </w:r>
      <w:r w:rsidRPr="00603316">
        <w:t>ocuments must be lodged without content that is both dynamic and interferes with the accuracy of the document</w:t>
      </w:r>
      <w:r>
        <w:t xml:space="preserve"> (</w:t>
      </w:r>
      <w:hyperlink r:id="rId218" w:history="1">
        <w:r w:rsidRPr="00001937">
          <w:rPr>
            <w:rStyle w:val="Hyperlink"/>
          </w:rPr>
          <w:t>LR</w:t>
        </w:r>
      </w:hyperlink>
      <w:r>
        <w:t xml:space="preserve"> s 6(5))</w:t>
      </w:r>
      <w:r w:rsidRPr="00603316">
        <w:t>. Content that is dynamic, but does not interfere with accuracy, can be included in documents.</w:t>
      </w:r>
    </w:p>
    <w:p w14:paraId="50011126" w14:textId="77777777" w:rsidR="00E86304" w:rsidRDefault="00E86304" w:rsidP="00E86304">
      <w:pPr>
        <w:pStyle w:val="BodyNum"/>
      </w:pPr>
      <w:r w:rsidRPr="00603316">
        <w:t>An example of content that can be dynamic but could be included, if it functions as intended in an instrument, compilation of an instrument or other document</w:t>
      </w:r>
      <w:r>
        <w:t>,</w:t>
      </w:r>
      <w:r w:rsidRPr="00603316">
        <w:t xml:space="preserve"> is a table of contents. Examples of dynamic content </w:t>
      </w:r>
      <w:r>
        <w:t>that interfere</w:t>
      </w:r>
      <w:r w:rsidRPr="00603316">
        <w:t xml:space="preserve"> with the accuracy of a document include when a document is converted and dynamic content updates to no longer match the document as made, or where useability elements do not function as intended, such as dynamic page numbers not reflecting the actual page numbers.</w:t>
      </w:r>
      <w:r>
        <w:t xml:space="preserve"> A common instance of dynamic content interfering with accuracy is where a field code is unable to pull relevant data and results in an error message.</w:t>
      </w:r>
    </w:p>
    <w:p w14:paraId="53FBBA71" w14:textId="77777777" w:rsidR="00E86304" w:rsidRPr="001F1262" w:rsidRDefault="00E86304" w:rsidP="00E86304">
      <w:pPr>
        <w:pStyle w:val="Head4"/>
      </w:pPr>
      <w:r>
        <w:t>Other considerations</w:t>
      </w:r>
    </w:p>
    <w:p w14:paraId="7B2C6082" w14:textId="77777777" w:rsidR="00E86304" w:rsidRPr="00FD274F" w:rsidRDefault="00E86304" w:rsidP="00E86304">
      <w:pPr>
        <w:pStyle w:val="BodyNum"/>
      </w:pPr>
      <w:r w:rsidRPr="00FD274F">
        <w:t>Meeting these requirements is important but may not, on its own, ensure that text and other content is fully machine and people</w:t>
      </w:r>
      <w:r>
        <w:noBreakHyphen/>
      </w:r>
      <w:r w:rsidRPr="00FD274F">
        <w:t>readable. Agencies should, therefore:</w:t>
      </w:r>
    </w:p>
    <w:p w14:paraId="707F44CC" w14:textId="77777777" w:rsidR="00E86304" w:rsidRPr="00FD274F" w:rsidRDefault="00E86304" w:rsidP="00E86304">
      <w:pPr>
        <w:pStyle w:val="BodyPara"/>
      </w:pPr>
      <w:r w:rsidRPr="00FD274F">
        <w:t>format the text of documents using styles or equivalent; and</w:t>
      </w:r>
    </w:p>
    <w:p w14:paraId="5D7F43C3" w14:textId="77777777" w:rsidR="00E86304" w:rsidRPr="00FD274F" w:rsidRDefault="00E86304" w:rsidP="00E86304">
      <w:pPr>
        <w:pStyle w:val="BodyPara"/>
      </w:pPr>
      <w:r w:rsidRPr="00FD274F">
        <w:t>choose an easily readable font and font size for normal text—</w:t>
      </w:r>
      <w:proofErr w:type="spellStart"/>
      <w:r w:rsidRPr="00FD274F">
        <w:t>OPC’s</w:t>
      </w:r>
      <w:proofErr w:type="spellEnd"/>
      <w:r w:rsidRPr="00FD274F">
        <w:t xml:space="preserve"> current practice is to use 11 point Times New Roman for most text; and</w:t>
      </w:r>
    </w:p>
    <w:p w14:paraId="76578134" w14:textId="77777777" w:rsidR="00E86304" w:rsidRPr="00FD274F" w:rsidRDefault="00E86304" w:rsidP="00E86304">
      <w:pPr>
        <w:pStyle w:val="BodyPara"/>
      </w:pPr>
      <w:r w:rsidRPr="00FD274F">
        <w:t>present mathematical formulas as images; and</w:t>
      </w:r>
    </w:p>
    <w:p w14:paraId="1604A147" w14:textId="77777777" w:rsidR="00E86304" w:rsidRPr="00FD274F" w:rsidRDefault="00E86304" w:rsidP="00E86304">
      <w:pPr>
        <w:pStyle w:val="BodyPara"/>
      </w:pPr>
      <w:r w:rsidRPr="00FD274F">
        <w:t xml:space="preserve">ensure all images are legible, and are tagged with an “alt text” description for people who use </w:t>
      </w:r>
      <w:r>
        <w:t>screen readers</w:t>
      </w:r>
      <w:r w:rsidRPr="00FD274F">
        <w:t>; and</w:t>
      </w:r>
    </w:p>
    <w:p w14:paraId="4AABDE29" w14:textId="77777777" w:rsidR="00E86304" w:rsidRPr="00FD274F" w:rsidRDefault="00E86304" w:rsidP="00E86304">
      <w:pPr>
        <w:pStyle w:val="BodyPara"/>
      </w:pPr>
      <w:r w:rsidRPr="00FD274F">
        <w:lastRenderedPageBreak/>
        <w:t>preview what the document is likely to look like when converted into PDF or HTML format (for example, by using the “Save As” feature in Word); and</w:t>
      </w:r>
    </w:p>
    <w:p w14:paraId="3E769BAB" w14:textId="77777777" w:rsidR="00E86304" w:rsidRPr="00FD274F" w:rsidRDefault="00E86304" w:rsidP="00E86304">
      <w:pPr>
        <w:pStyle w:val="BodyPara"/>
      </w:pPr>
      <w:r w:rsidRPr="00FD274F">
        <w:t>consider splitting very large files that exceed 10MB or 600 pages into multiple volumes to avoid excessive download times; and</w:t>
      </w:r>
    </w:p>
    <w:p w14:paraId="673EC19D" w14:textId="77777777" w:rsidR="00E86304" w:rsidRPr="00FD274F" w:rsidRDefault="00E86304" w:rsidP="00E86304">
      <w:pPr>
        <w:pStyle w:val="BodyPara"/>
      </w:pPr>
      <w:r w:rsidRPr="00FD274F">
        <w:t>finalise the document only after checking for hidden issues—in Word 2010, for example, this can be done using the File | Info | Check for Issues toolset.</w:t>
      </w:r>
    </w:p>
    <w:p w14:paraId="6D96A3B6" w14:textId="77777777" w:rsidR="00E86304" w:rsidRPr="001F1262" w:rsidRDefault="00E86304" w:rsidP="00E86304">
      <w:pPr>
        <w:pStyle w:val="Head4"/>
      </w:pPr>
      <w:r>
        <w:t>Preventable issues</w:t>
      </w:r>
    </w:p>
    <w:p w14:paraId="47136ABD" w14:textId="77777777" w:rsidR="00E86304" w:rsidRPr="00FD274F" w:rsidRDefault="00E86304" w:rsidP="00E86304">
      <w:pPr>
        <w:pStyle w:val="BodyNum"/>
      </w:pPr>
      <w:r w:rsidRPr="00FD274F">
        <w:t>Things that are likely to cause problems, and that should be avoided</w:t>
      </w:r>
      <w:r>
        <w:t xml:space="preserve"> whenever possible</w:t>
      </w:r>
      <w:r w:rsidRPr="00FD274F">
        <w:t>, include the following:</w:t>
      </w:r>
    </w:p>
    <w:p w14:paraId="4EF2A49C" w14:textId="77777777" w:rsidR="00E86304" w:rsidRPr="00FD274F" w:rsidRDefault="00E86304" w:rsidP="00E86304">
      <w:pPr>
        <w:pStyle w:val="BodyPara"/>
      </w:pPr>
      <w:r w:rsidRPr="00FD274F">
        <w:t>content such as revisions and comments</w:t>
      </w:r>
      <w:r>
        <w:t>, whether visible or hidden,</w:t>
      </w:r>
      <w:r w:rsidRPr="00FD274F">
        <w:t xml:space="preserve"> that may not be intend</w:t>
      </w:r>
      <w:r>
        <w:t xml:space="preserve">ed or suitable for publication (see </w:t>
      </w:r>
      <w:hyperlink r:id="rId219" w:history="1">
        <w:r w:rsidRPr="00001937">
          <w:rPr>
            <w:rStyle w:val="Hyperlink"/>
          </w:rPr>
          <w:t>LR</w:t>
        </w:r>
      </w:hyperlink>
      <w:r>
        <w:t xml:space="preserve"> s 16);</w:t>
      </w:r>
    </w:p>
    <w:p w14:paraId="4DA1C73E" w14:textId="77777777" w:rsidR="00E86304" w:rsidRPr="00FD274F" w:rsidRDefault="00E86304" w:rsidP="00E86304">
      <w:pPr>
        <w:pStyle w:val="BodyPara"/>
      </w:pPr>
      <w:r w:rsidRPr="00FD274F">
        <w:t xml:space="preserve">field codes and macros—these may no longer work, or may not work in the way intended, when the document is published by </w:t>
      </w:r>
      <w:proofErr w:type="spellStart"/>
      <w:r w:rsidRPr="00FD274F">
        <w:t>OPC</w:t>
      </w:r>
      <w:proofErr w:type="spellEnd"/>
      <w:r w:rsidRPr="00FD274F">
        <w:t>;</w:t>
      </w:r>
    </w:p>
    <w:p w14:paraId="526575CE" w14:textId="77777777" w:rsidR="00E86304" w:rsidRPr="00FD274F" w:rsidRDefault="00E86304" w:rsidP="00E86304">
      <w:pPr>
        <w:pStyle w:val="BodyPara"/>
      </w:pPr>
      <w:r w:rsidRPr="00FD274F">
        <w:t xml:space="preserve">special symbols—the Greek letter “Mu” (μ) in particular is at risk of being misread by some devices/software so </w:t>
      </w:r>
      <w:proofErr w:type="spellStart"/>
      <w:r w:rsidRPr="00FD274F">
        <w:t>μg</w:t>
      </w:r>
      <w:proofErr w:type="spellEnd"/>
      <w:r w:rsidRPr="00FD274F">
        <w:t xml:space="preserve"> may be misread as mg;</w:t>
      </w:r>
    </w:p>
    <w:p w14:paraId="19654956" w14:textId="77777777" w:rsidR="00E86304" w:rsidRPr="00FD274F" w:rsidRDefault="00E86304" w:rsidP="00E86304">
      <w:pPr>
        <w:pStyle w:val="BodyPara"/>
      </w:pPr>
      <w:r w:rsidRPr="00FD274F">
        <w:t>highlighting, watermarks or background images that may obscure the text.</w:t>
      </w:r>
    </w:p>
    <w:p w14:paraId="5DBB387D" w14:textId="77777777" w:rsidR="00E86304" w:rsidRDefault="00E86304" w:rsidP="00E86304">
      <w:pPr>
        <w:pStyle w:val="BodyNum"/>
      </w:pPr>
      <w:r>
        <w:t>The elements identified above may have unintended consequences on the appearance and readability of legislation, negatively impacting accessibility. Resolving these issues during the registration process can be both complex and time-consuming.</w:t>
      </w:r>
    </w:p>
    <w:p w14:paraId="727301DA" w14:textId="77777777" w:rsidR="00E86304" w:rsidRPr="001F1262" w:rsidRDefault="00E86304" w:rsidP="00E86304">
      <w:pPr>
        <w:pStyle w:val="Head4"/>
      </w:pPr>
      <w:r>
        <w:t>Footers</w:t>
      </w:r>
    </w:p>
    <w:p w14:paraId="411AFE5C" w14:textId="77777777" w:rsidR="00E86304" w:rsidRPr="00961F7C" w:rsidRDefault="00E86304" w:rsidP="00E86304">
      <w:pPr>
        <w:pStyle w:val="BodyNum"/>
        <w:keepLines/>
      </w:pPr>
      <w:r>
        <w:t>A</w:t>
      </w:r>
      <w:r w:rsidRPr="00FD274F">
        <w:t xml:space="preserve">gencies should also ensure that at least 1cm is left blank at the bottom of each page. This is so that no content is obscured when the document is stamped with its unique identifier and, if applicable, the words that indicate that it is an authorised version </w:t>
      </w:r>
      <w:r w:rsidRPr="00961F7C">
        <w:t xml:space="preserve">(see </w:t>
      </w:r>
      <w:hyperlink r:id="rId220" w:history="1">
        <w:r w:rsidRPr="00001937">
          <w:rPr>
            <w:rStyle w:val="Hyperlink"/>
          </w:rPr>
          <w:t>LR</w:t>
        </w:r>
      </w:hyperlink>
      <w:r>
        <w:t xml:space="preserve"> s 13 and 18(2)</w:t>
      </w:r>
      <w:r w:rsidRPr="00961F7C">
        <w:t>).</w:t>
      </w:r>
    </w:p>
    <w:p w14:paraId="439CD422" w14:textId="77777777" w:rsidR="00E86304" w:rsidRPr="001F1262" w:rsidRDefault="00E86304" w:rsidP="00E86304">
      <w:pPr>
        <w:pStyle w:val="Head4"/>
      </w:pPr>
      <w:bookmarkStart w:id="82" w:name="_Ref384353433"/>
      <w:r>
        <w:t>Resolving issues</w:t>
      </w:r>
    </w:p>
    <w:p w14:paraId="7282E57B" w14:textId="77777777" w:rsidR="00E86304" w:rsidRDefault="00E86304" w:rsidP="00E86304">
      <w:pPr>
        <w:pStyle w:val="BodyNum"/>
      </w:pPr>
      <w:bookmarkStart w:id="83" w:name="_Ref184284176"/>
      <w:r w:rsidRPr="00FD274F">
        <w:t xml:space="preserve">If significant technical issues are identified during or after the registration process, </w:t>
      </w:r>
      <w:proofErr w:type="spellStart"/>
      <w:r w:rsidRPr="00FD274F">
        <w:t>OPC</w:t>
      </w:r>
      <w:proofErr w:type="spellEnd"/>
      <w:r w:rsidRPr="00FD274F">
        <w:t xml:space="preserve"> will generally contact the lodging agency to discuss the situation and suggest what can be done to resolve it.</w:t>
      </w:r>
      <w:bookmarkEnd w:id="82"/>
      <w:bookmarkEnd w:id="83"/>
    </w:p>
    <w:p w14:paraId="22AA8450" w14:textId="77777777" w:rsidR="00E86304" w:rsidRPr="00FD274F" w:rsidRDefault="00E86304" w:rsidP="00E86304">
      <w:pPr>
        <w:pStyle w:val="Head3"/>
      </w:pPr>
      <w:bookmarkStart w:id="84" w:name="_Toc238117546"/>
      <w:r w:rsidRPr="00FD274F">
        <w:t>Improving drafting standards</w:t>
      </w:r>
      <w:bookmarkEnd w:id="84"/>
    </w:p>
    <w:p w14:paraId="02A2C8CF" w14:textId="77777777" w:rsidR="00E86304" w:rsidRPr="00FD274F" w:rsidRDefault="00E86304" w:rsidP="00E86304">
      <w:pPr>
        <w:pStyle w:val="BodyNum"/>
        <w:keepNext/>
      </w:pPr>
      <w:r w:rsidRPr="004B337C">
        <w:t xml:space="preserve">Section 16 of the </w:t>
      </w:r>
      <w:hyperlink r:id="rId221" w:history="1">
        <w:r w:rsidRPr="004B337C">
          <w:rPr>
            <w:rStyle w:val="Hyperlink"/>
          </w:rPr>
          <w:t>LA</w:t>
        </w:r>
      </w:hyperlink>
      <w:r w:rsidRPr="004B337C">
        <w:rPr>
          <w:rStyle w:val="Hyperlink"/>
        </w:rPr>
        <w:t xml:space="preserve"> </w:t>
      </w:r>
      <w:r w:rsidRPr="004B337C">
        <w:t>r</w:t>
      </w:r>
      <w:r w:rsidRPr="00FD274F">
        <w:t>equires the First Parliamentary Counsel to cause steps to be taken to promote the legal effectiveness, clarity, and intelligibility to anticipated users, of legislative instruments</w:t>
      </w:r>
      <w:r>
        <w:t xml:space="preserve"> and notifiable instruments</w:t>
      </w:r>
      <w:r w:rsidRPr="00FD274F">
        <w:t>. The steps may include, but are not limited to, the following:</w:t>
      </w:r>
    </w:p>
    <w:p w14:paraId="39FE5536" w14:textId="77777777" w:rsidR="00E86304" w:rsidRPr="00FD274F" w:rsidRDefault="00E86304" w:rsidP="00E86304">
      <w:pPr>
        <w:pStyle w:val="BodyPara"/>
      </w:pPr>
      <w:r w:rsidRPr="00FD274F">
        <w:t>undertaking or supervising the drafting of instruments;</w:t>
      </w:r>
    </w:p>
    <w:p w14:paraId="6D17D24E" w14:textId="77777777" w:rsidR="00E86304" w:rsidRPr="00FD274F" w:rsidRDefault="00E86304" w:rsidP="00E86304">
      <w:pPr>
        <w:pStyle w:val="BodyPara"/>
      </w:pPr>
      <w:r w:rsidRPr="00FD274F">
        <w:lastRenderedPageBreak/>
        <w:t>scrutinising preliminary drafts of instruments;</w:t>
      </w:r>
    </w:p>
    <w:p w14:paraId="45EBFB70" w14:textId="77777777" w:rsidR="00E86304" w:rsidRPr="00FD274F" w:rsidRDefault="00E86304" w:rsidP="00E86304">
      <w:pPr>
        <w:pStyle w:val="BodyPara"/>
      </w:pPr>
      <w:r w:rsidRPr="00FD274F">
        <w:t>providing advice about the drafting of instruments;</w:t>
      </w:r>
    </w:p>
    <w:p w14:paraId="0919D055" w14:textId="77777777" w:rsidR="00E86304" w:rsidRPr="00FD274F" w:rsidRDefault="00E86304" w:rsidP="00E86304">
      <w:pPr>
        <w:pStyle w:val="BodyPara"/>
      </w:pPr>
      <w:r w:rsidRPr="00FD274F">
        <w:t>providing training in drafting and drafting</w:t>
      </w:r>
      <w:r>
        <w:noBreakHyphen/>
      </w:r>
      <w:r w:rsidRPr="00FD274F">
        <w:t>related matters to agencies;</w:t>
      </w:r>
    </w:p>
    <w:p w14:paraId="3E59FBC9" w14:textId="77777777" w:rsidR="00E86304" w:rsidRPr="00FD274F" w:rsidRDefault="00E86304" w:rsidP="00E86304">
      <w:pPr>
        <w:pStyle w:val="BodyPara"/>
      </w:pPr>
      <w:r w:rsidRPr="00FD274F">
        <w:t xml:space="preserve">arranging the temporary secondment of </w:t>
      </w:r>
      <w:proofErr w:type="spellStart"/>
      <w:r w:rsidRPr="00FD274F">
        <w:t>OPC</w:t>
      </w:r>
      <w:proofErr w:type="spellEnd"/>
      <w:r w:rsidRPr="00FD274F">
        <w:t xml:space="preserve"> staff to agencies;</w:t>
      </w:r>
    </w:p>
    <w:p w14:paraId="1D1D1C9F" w14:textId="77777777" w:rsidR="00E86304" w:rsidRPr="00FD274F" w:rsidRDefault="00E86304" w:rsidP="00E86304">
      <w:pPr>
        <w:pStyle w:val="BodyPara"/>
      </w:pPr>
      <w:r w:rsidRPr="00FD274F">
        <w:t>providing drafting precedents to agencies.</w:t>
      </w:r>
    </w:p>
    <w:p w14:paraId="00DFC7FF" w14:textId="77777777" w:rsidR="00E86304" w:rsidRDefault="00E86304" w:rsidP="00E86304">
      <w:pPr>
        <w:pStyle w:val="BodyNum"/>
        <w:sectPr w:rsidR="00E86304" w:rsidSect="00E86304">
          <w:headerReference w:type="default" r:id="rId222"/>
          <w:footerReference w:type="default" r:id="rId223"/>
          <w:pgSz w:w="11907" w:h="16839" w:code="9"/>
          <w:pgMar w:top="1440" w:right="1440" w:bottom="1418" w:left="1440" w:header="720" w:footer="720" w:gutter="0"/>
          <w:cols w:sep="1" w:space="567"/>
          <w:docGrid w:linePitch="360"/>
        </w:sectPr>
      </w:pPr>
      <w:bookmarkStart w:id="85" w:name="_Ref367446214"/>
      <w:r w:rsidRPr="00FD274F">
        <w:t xml:space="preserve">This Handbook, issued by the First Parliamentary Counsel, includes important information to assist agencies to improve drafting standards. </w:t>
      </w:r>
      <w:proofErr w:type="spellStart"/>
      <w:r w:rsidRPr="00FD274F">
        <w:t>OP</w:t>
      </w:r>
      <w:r w:rsidRPr="00961F7C">
        <w:t>C’s</w:t>
      </w:r>
      <w:proofErr w:type="spellEnd"/>
      <w:r w:rsidRPr="00961F7C">
        <w:t xml:space="preserve"> </w:t>
      </w:r>
      <w:hyperlink r:id="rId224" w:history="1">
        <w:r w:rsidRPr="00961F7C">
          <w:rPr>
            <w:rStyle w:val="Hyperlink"/>
          </w:rPr>
          <w:t>Drafting Directions</w:t>
        </w:r>
      </w:hyperlink>
      <w:r w:rsidRPr="00FD274F">
        <w:t xml:space="preserve"> deal comprehensively with the drafting of instruments as well as Bills. </w:t>
      </w:r>
      <w:hyperlink r:id="rId225" w:history="1">
        <w:proofErr w:type="spellStart"/>
        <w:r>
          <w:rPr>
            <w:rStyle w:val="Hyperlink"/>
          </w:rPr>
          <w:t>OPC’s</w:t>
        </w:r>
        <w:proofErr w:type="spellEnd"/>
        <w:r>
          <w:rPr>
            <w:rStyle w:val="Hyperlink"/>
          </w:rPr>
          <w:t xml:space="preserve"> Instrument Fact Sheet Series</w:t>
        </w:r>
      </w:hyperlink>
      <w:r>
        <w:t xml:space="preserve"> provide brief guides and summaries on key considerations for instruments. </w:t>
      </w:r>
      <w:proofErr w:type="spellStart"/>
      <w:r w:rsidRPr="00FD274F">
        <w:t>OPC</w:t>
      </w:r>
      <w:proofErr w:type="spellEnd"/>
      <w:r w:rsidRPr="00FD274F">
        <w:t xml:space="preserve"> is also available on a fee</w:t>
      </w:r>
      <w:r>
        <w:noBreakHyphen/>
      </w:r>
      <w:r w:rsidRPr="00FD274F">
        <w:t>for</w:t>
      </w:r>
      <w:r>
        <w:noBreakHyphen/>
      </w:r>
      <w:r w:rsidRPr="00FD274F">
        <w:t>service basis to provide training to agency staff who prepare legislative instruments.</w:t>
      </w:r>
      <w:bookmarkEnd w:id="85"/>
      <w:r w:rsidRPr="00FD274F">
        <w:t xml:space="preserve"> For further information, please contact </w:t>
      </w:r>
      <w:proofErr w:type="spellStart"/>
      <w:r>
        <w:t>O</w:t>
      </w:r>
      <w:r w:rsidRPr="00961F7C">
        <w:t>PC’s</w:t>
      </w:r>
      <w:proofErr w:type="spellEnd"/>
      <w:r>
        <w:t xml:space="preserve"> </w:t>
      </w:r>
      <w:hyperlink r:id="rId226" w:history="1">
        <w:r>
          <w:rPr>
            <w:rStyle w:val="Hyperlink"/>
          </w:rPr>
          <w:t>instrument client advisers</w:t>
        </w:r>
      </w:hyperlink>
      <w:r>
        <w:t>.</w:t>
      </w:r>
      <w:bookmarkStart w:id="86" w:name="Chapter4"/>
    </w:p>
    <w:p w14:paraId="24083903" w14:textId="77777777" w:rsidR="00E86304" w:rsidRPr="00FD274F" w:rsidRDefault="00E86304" w:rsidP="00E86304">
      <w:pPr>
        <w:pStyle w:val="Head2"/>
      </w:pPr>
      <w:bookmarkStart w:id="87" w:name="_Toc238117547"/>
      <w:r w:rsidRPr="00FD274F">
        <w:lastRenderedPageBreak/>
        <w:t>Chapter 4—Lodgement and registration of instruments</w:t>
      </w:r>
      <w:bookmarkEnd w:id="87"/>
    </w:p>
    <w:p w14:paraId="6A7FE47B" w14:textId="77777777" w:rsidR="00E86304" w:rsidRPr="00FD274F" w:rsidRDefault="00E86304" w:rsidP="00E86304">
      <w:pPr>
        <w:pStyle w:val="SundryBoxHeadBold"/>
      </w:pPr>
      <w:r>
        <w:t>Main points</w:t>
      </w:r>
    </w:p>
    <w:p w14:paraId="476D3776" w14:textId="77777777" w:rsidR="00E86304" w:rsidRDefault="00E86304" w:rsidP="00E86304">
      <w:pPr>
        <w:pStyle w:val="SundryBoxBullet"/>
      </w:pPr>
      <w:r w:rsidRPr="00FD274F">
        <w:t>•</w:t>
      </w:r>
      <w:r w:rsidRPr="00FD274F">
        <w:tab/>
        <w:t>An instrument must be lodged for registration as soon as practicable after making, preferably with its explanatory statement if required.</w:t>
      </w:r>
    </w:p>
    <w:p w14:paraId="43F573E5" w14:textId="77777777" w:rsidR="00E86304" w:rsidRDefault="00E86304" w:rsidP="00E86304">
      <w:pPr>
        <w:pStyle w:val="SundryBoxBullet"/>
      </w:pPr>
      <w:r w:rsidRPr="00FD274F">
        <w:t>•</w:t>
      </w:r>
      <w:r w:rsidRPr="00FD274F">
        <w:tab/>
      </w:r>
      <w:bookmarkStart w:id="88" w:name="_Hlk181256906"/>
      <w:r>
        <w:rPr>
          <w:rFonts w:eastAsia="Times New Roman"/>
        </w:rPr>
        <w:t>There is limited ability to remove items from the Register once registered, so agencies should check items carefully before lodging.</w:t>
      </w:r>
      <w:bookmarkEnd w:id="88"/>
    </w:p>
    <w:p w14:paraId="3A6C03B7" w14:textId="77777777" w:rsidR="00E86304" w:rsidRPr="00FD274F" w:rsidRDefault="00E86304" w:rsidP="00E86304">
      <w:pPr>
        <w:pStyle w:val="SundryBoxBullet"/>
      </w:pPr>
      <w:r w:rsidRPr="00FD274F">
        <w:t>•</w:t>
      </w:r>
      <w:r w:rsidRPr="00FD274F">
        <w:tab/>
        <w:t xml:space="preserve">Registration is not the end of the process—both agencies and </w:t>
      </w:r>
      <w:proofErr w:type="spellStart"/>
      <w:r w:rsidRPr="00FD274F">
        <w:t>OPC</w:t>
      </w:r>
      <w:proofErr w:type="spellEnd"/>
      <w:r w:rsidRPr="00FD274F">
        <w:t xml:space="preserve"> are required to take action to ensure that the Register remains complete and accurate.</w:t>
      </w:r>
    </w:p>
    <w:p w14:paraId="5CD7500E" w14:textId="77777777" w:rsidR="00E86304" w:rsidRPr="00FD274F" w:rsidRDefault="00E86304" w:rsidP="00E86304">
      <w:pPr>
        <w:pStyle w:val="Head3"/>
      </w:pPr>
      <w:bookmarkStart w:id="89" w:name="_Toc238117548"/>
      <w:r w:rsidRPr="00FD274F">
        <w:t xml:space="preserve">Requirement to lodge instruments with </w:t>
      </w:r>
      <w:proofErr w:type="spellStart"/>
      <w:r w:rsidRPr="00FD274F">
        <w:t>OPC</w:t>
      </w:r>
      <w:bookmarkEnd w:id="89"/>
      <w:proofErr w:type="spellEnd"/>
    </w:p>
    <w:p w14:paraId="4B271B5A" w14:textId="77777777" w:rsidR="00E86304" w:rsidRDefault="00E86304" w:rsidP="00E86304">
      <w:pPr>
        <w:pStyle w:val="BodyNum"/>
      </w:pPr>
      <w:r w:rsidRPr="00FD274F">
        <w:t xml:space="preserve">All instruments must be lodged for registration as soon as practicable after making </w:t>
      </w:r>
      <w:r w:rsidRPr="004B337C">
        <w:t>(</w:t>
      </w:r>
      <w:hyperlink r:id="rId227" w:history="1">
        <w:r w:rsidRPr="004B337C">
          <w:rPr>
            <w:rStyle w:val="Hyperlink"/>
          </w:rPr>
          <w:t>LA</w:t>
        </w:r>
      </w:hyperlink>
      <w:r w:rsidRPr="004B337C">
        <w:t xml:space="preserve"> s 15G).</w:t>
      </w:r>
    </w:p>
    <w:p w14:paraId="3651259C" w14:textId="77777777" w:rsidR="00E86304" w:rsidRDefault="00E86304" w:rsidP="00E86304">
      <w:pPr>
        <w:pStyle w:val="BodyNum"/>
      </w:pPr>
      <w:r>
        <w:t>All material lodged for registration will be publicly available on the Register, and should not contain security classifications or protective markings of any kind as set out by the Protective Security Policy Framework</w:t>
      </w:r>
      <w:r w:rsidRPr="004532FE">
        <w:rPr>
          <w:rStyle w:val="FootnoteReference"/>
        </w:rPr>
        <w:footnoteReference w:id="16"/>
      </w:r>
      <w:r>
        <w:t>. Prior to lodging, please ensure there are no security classifications or any other protective markings in material to be registered, including in the document properties.</w:t>
      </w:r>
    </w:p>
    <w:p w14:paraId="621CAA4F" w14:textId="77777777" w:rsidR="00E86304" w:rsidRDefault="00E86304" w:rsidP="00E86304">
      <w:pPr>
        <w:pStyle w:val="BodyNum"/>
      </w:pPr>
      <w:r>
        <w:t xml:space="preserve">Prior to lodging, please ensure that no author details or personal information are contained within material to be registered, including in the document properties. If any material lodged for registration contains any personal information, please contact </w:t>
      </w:r>
      <w:proofErr w:type="spellStart"/>
      <w:r>
        <w:t>OPC</w:t>
      </w:r>
      <w:proofErr w:type="spellEnd"/>
      <w:r>
        <w:t xml:space="preserve"> to discuss options before lodging.</w:t>
      </w:r>
    </w:p>
    <w:p w14:paraId="00BE9456" w14:textId="77777777" w:rsidR="00E86304" w:rsidRPr="00FD274F" w:rsidRDefault="00E86304" w:rsidP="00E86304">
      <w:pPr>
        <w:pStyle w:val="BodyNum"/>
      </w:pPr>
      <w:r w:rsidRPr="00FD274F">
        <w:t>The steps involved in lodging an instrument f</w:t>
      </w:r>
      <w:r>
        <w:t>or registration are as follows:</w:t>
      </w:r>
    </w:p>
    <w:p w14:paraId="2A4D4F7B" w14:textId="77777777" w:rsidR="00E86304" w:rsidRPr="00FD274F" w:rsidRDefault="00E86304" w:rsidP="00E86304">
      <w:pPr>
        <w:pStyle w:val="BodyPara"/>
      </w:pPr>
      <w:r w:rsidRPr="00FD274F">
        <w:t>create an online lodgement;</w:t>
      </w:r>
    </w:p>
    <w:p w14:paraId="72EEE9EA" w14:textId="77777777" w:rsidR="00E86304" w:rsidRPr="00FD274F" w:rsidRDefault="00E86304" w:rsidP="00E86304">
      <w:pPr>
        <w:pStyle w:val="BodyPara"/>
      </w:pPr>
      <w:r w:rsidRPr="00FD274F">
        <w:t>attach the electronic version of the instrument</w:t>
      </w:r>
      <w:r>
        <w:t>;</w:t>
      </w:r>
    </w:p>
    <w:p w14:paraId="52909F3E" w14:textId="77777777" w:rsidR="00E86304" w:rsidRDefault="00E86304" w:rsidP="00E86304">
      <w:pPr>
        <w:pStyle w:val="BodyPara"/>
      </w:pPr>
      <w:r>
        <w:t>for legislative instruments—attach the explanatory statement;</w:t>
      </w:r>
    </w:p>
    <w:p w14:paraId="1139FF0B" w14:textId="77777777" w:rsidR="00E86304" w:rsidRPr="00FD274F" w:rsidRDefault="00E86304" w:rsidP="00E86304">
      <w:pPr>
        <w:pStyle w:val="BodyPara"/>
      </w:pPr>
      <w:r w:rsidRPr="00FD274F">
        <w:t xml:space="preserve">if required—attach </w:t>
      </w:r>
      <w:r>
        <w:t>other documents;</w:t>
      </w:r>
    </w:p>
    <w:p w14:paraId="78FA0396" w14:textId="77777777" w:rsidR="00E86304" w:rsidRPr="00FD274F" w:rsidRDefault="00E86304" w:rsidP="00E86304">
      <w:pPr>
        <w:pStyle w:val="BodyPara"/>
      </w:pPr>
      <w:r w:rsidRPr="00FD274F">
        <w:t xml:space="preserve">certify the online lodgement—this is the final step before </w:t>
      </w:r>
      <w:proofErr w:type="spellStart"/>
      <w:r w:rsidRPr="00FD274F">
        <w:t>OPC</w:t>
      </w:r>
      <w:proofErr w:type="spellEnd"/>
      <w:r w:rsidRPr="00FD274F">
        <w:t xml:space="preserve"> can register an instrument, and should only be taken once an instrument has been made.</w:t>
      </w:r>
    </w:p>
    <w:p w14:paraId="2A689358" w14:textId="77777777" w:rsidR="00E86304" w:rsidRPr="00FD274F" w:rsidRDefault="00E86304" w:rsidP="00E86304">
      <w:pPr>
        <w:pStyle w:val="BodyNum"/>
      </w:pPr>
      <w:r>
        <w:t xml:space="preserve">Agencies do not </w:t>
      </w:r>
      <w:r w:rsidRPr="00FD274F">
        <w:t xml:space="preserve">need to lodge original instruments in hard copy, as electronic copies of registered laws and explanatory statements are authorised and taken to be a reliable source of information for the purpose of legal proceedings </w:t>
      </w:r>
      <w:r w:rsidRPr="004B337C">
        <w:t>(</w:t>
      </w:r>
      <w:hyperlink r:id="rId228" w:history="1">
        <w:r w:rsidRPr="004B337C">
          <w:rPr>
            <w:rStyle w:val="Hyperlink"/>
          </w:rPr>
          <w:t>LA</w:t>
        </w:r>
      </w:hyperlink>
      <w:r w:rsidRPr="004B337C">
        <w:t xml:space="preserve"> s 15ZB)</w:t>
      </w:r>
      <w:r w:rsidRPr="00FD274F">
        <w:t xml:space="preserve">. Agencies are, however, expected to manage hard copies in accordance with the </w:t>
      </w:r>
      <w:hyperlink r:id="rId229" w:history="1">
        <w:r w:rsidRPr="00A82ED8">
          <w:rPr>
            <w:rStyle w:val="Hyperlink"/>
            <w:i/>
          </w:rPr>
          <w:t>Archives Act 1983</w:t>
        </w:r>
      </w:hyperlink>
      <w:r w:rsidRPr="00A82ED8">
        <w:t xml:space="preserve"> an</w:t>
      </w:r>
      <w:r w:rsidRPr="00FD274F">
        <w:t xml:space="preserve">d related </w:t>
      </w:r>
      <w:r w:rsidRPr="00FD274F">
        <w:lastRenderedPageBreak/>
        <w:t xml:space="preserve">guidance on the destruction of original records after digitisation </w:t>
      </w:r>
      <w:r w:rsidRPr="00A82ED8">
        <w:t>(see the National Archives of Australia General Records Authority 31(</w:t>
      </w:r>
      <w:hyperlink r:id="rId230" w:history="1">
        <w:r w:rsidRPr="00A82ED8">
          <w:rPr>
            <w:rStyle w:val="Hyperlink"/>
          </w:rPr>
          <w:t>GRA31</w:t>
        </w:r>
      </w:hyperlink>
      <w:r w:rsidRPr="00A82ED8">
        <w:t>)).</w:t>
      </w:r>
    </w:p>
    <w:p w14:paraId="08E96892" w14:textId="77777777" w:rsidR="00E86304" w:rsidRPr="00FD274F" w:rsidRDefault="00E86304" w:rsidP="00E86304">
      <w:pPr>
        <w:pStyle w:val="BodyNum"/>
      </w:pPr>
      <w:r w:rsidRPr="00FD274F">
        <w:t xml:space="preserve">Failure to lodge instruments promptly can have significant legal and other consequences, particularly if this results in the instrument commencing retrospectively </w:t>
      </w:r>
      <w:r w:rsidRPr="001E349A">
        <w:t xml:space="preserve">(see paragraphs </w:t>
      </w:r>
      <w:r w:rsidRPr="00A82ED8">
        <w:fldChar w:fldCharType="begin"/>
      </w:r>
      <w:r w:rsidRPr="001E349A">
        <w:instrText xml:space="preserve"> REF _Ref444869799 \r \h  \* MERGEFORMAT </w:instrText>
      </w:r>
      <w:r w:rsidRPr="00A82ED8">
        <w:fldChar w:fldCharType="separate"/>
      </w:r>
      <w:r>
        <w:t>73</w:t>
      </w:r>
      <w:r w:rsidRPr="00A82ED8">
        <w:fldChar w:fldCharType="end"/>
      </w:r>
      <w:r w:rsidRPr="001E349A">
        <w:t xml:space="preserve"> </w:t>
      </w:r>
      <w:r>
        <w:t>to</w:t>
      </w:r>
      <w:r w:rsidRPr="001E349A">
        <w:t xml:space="preserve"> </w:t>
      </w:r>
      <w:r>
        <w:fldChar w:fldCharType="begin"/>
      </w:r>
      <w:r>
        <w:instrText xml:space="preserve"> REF _Ref112918881 \r \h </w:instrText>
      </w:r>
      <w:r>
        <w:fldChar w:fldCharType="separate"/>
      </w:r>
      <w:r>
        <w:t>78</w:t>
      </w:r>
      <w:r>
        <w:fldChar w:fldCharType="end"/>
      </w:r>
      <w:r w:rsidRPr="001E349A">
        <w:t>).</w:t>
      </w:r>
    </w:p>
    <w:p w14:paraId="7D5D5518" w14:textId="77777777" w:rsidR="00E86304" w:rsidRPr="00FD274F" w:rsidRDefault="00E86304" w:rsidP="00E86304">
      <w:pPr>
        <w:pStyle w:val="Head4"/>
      </w:pPr>
      <w:r w:rsidRPr="00FD274F">
        <w:t>Step 1: Create online lodgement</w:t>
      </w:r>
    </w:p>
    <w:p w14:paraId="0096726F" w14:textId="77777777" w:rsidR="00E86304" w:rsidRPr="00FD274F" w:rsidRDefault="00E86304" w:rsidP="00E86304">
      <w:pPr>
        <w:pStyle w:val="BodyNum"/>
      </w:pPr>
      <w:r w:rsidRPr="00FD274F">
        <w:t>A separate online lo</w:t>
      </w:r>
      <w:r w:rsidRPr="00FD274F">
        <w:rPr>
          <w:szCs w:val="24"/>
        </w:rPr>
        <w:t>dgement must be created for e</w:t>
      </w:r>
      <w:r>
        <w:rPr>
          <w:szCs w:val="24"/>
        </w:rPr>
        <w:t>ach</w:t>
      </w:r>
      <w:r w:rsidRPr="00FD274F">
        <w:rPr>
          <w:szCs w:val="24"/>
        </w:rPr>
        <w:t xml:space="preserve"> instrument. This can only be done through the secure lodgement facility at </w:t>
      </w:r>
      <w:hyperlink r:id="rId231" w:history="1">
        <w:r w:rsidRPr="00FD274F">
          <w:rPr>
            <w:rStyle w:val="Hyperlink"/>
            <w:szCs w:val="24"/>
          </w:rPr>
          <w:t>https://lodge.legislation.gov.au</w:t>
        </w:r>
      </w:hyperlink>
      <w:r w:rsidRPr="00FD274F">
        <w:rPr>
          <w:color w:val="1F497D"/>
          <w:szCs w:val="24"/>
        </w:rPr>
        <w:t xml:space="preserve"> </w:t>
      </w:r>
      <w:r w:rsidRPr="00FD274F">
        <w:rPr>
          <w:szCs w:val="24"/>
        </w:rPr>
        <w:t>unless the First Parliamentary Counsel has agreed otherwise</w:t>
      </w:r>
      <w:r w:rsidRPr="00FD274F">
        <w:t xml:space="preserve"> </w:t>
      </w:r>
      <w:r w:rsidRPr="00A82ED8">
        <w:t>(</w:t>
      </w:r>
      <w:hyperlink r:id="rId232" w:history="1">
        <w:r w:rsidRPr="00001937">
          <w:rPr>
            <w:rStyle w:val="Hyperlink"/>
          </w:rPr>
          <w:t>LR</w:t>
        </w:r>
      </w:hyperlink>
      <w:r w:rsidRPr="00A82ED8">
        <w:t xml:space="preserve"> s </w:t>
      </w:r>
      <w:r>
        <w:t>6</w:t>
      </w:r>
      <w:r w:rsidRPr="00A82ED8">
        <w:t>(2)).</w:t>
      </w:r>
    </w:p>
    <w:p w14:paraId="26B0B16A" w14:textId="77777777" w:rsidR="00E86304" w:rsidRPr="00FD274F" w:rsidRDefault="00E86304" w:rsidP="00E86304">
      <w:pPr>
        <w:pStyle w:val="BodyNum"/>
        <w:keepLines/>
      </w:pPr>
      <w:r w:rsidRPr="00FD274F">
        <w:t xml:space="preserve">Many agencies have a central lodging area for lodgement purposes. </w:t>
      </w:r>
      <w:r>
        <w:t xml:space="preserve">Individuals within each agency require their own log in details for access to the lodgement facility. These are not to be shared between a group or between individuals. </w:t>
      </w:r>
      <w:r w:rsidRPr="00FD274F">
        <w:t xml:space="preserve">If </w:t>
      </w:r>
      <w:r>
        <w:t>you need to request access to the lodgement facility</w:t>
      </w:r>
      <w:r w:rsidRPr="00FD274F">
        <w:t xml:space="preserve">, please </w:t>
      </w:r>
      <w:r>
        <w:t xml:space="preserve">email </w:t>
      </w:r>
      <w:proofErr w:type="spellStart"/>
      <w:r w:rsidRPr="00FD274F">
        <w:t>OPC</w:t>
      </w:r>
      <w:proofErr w:type="spellEnd"/>
      <w:r w:rsidRPr="00FD274F">
        <w:t xml:space="preserve"> </w:t>
      </w:r>
      <w:r>
        <w:t xml:space="preserve">at </w:t>
      </w:r>
      <w:hyperlink r:id="rId233" w:history="1">
        <w:hyperlink r:id="rId234" w:history="1">
          <w:r w:rsidRPr="00FD274F">
            <w:rPr>
              <w:rStyle w:val="Hyperlink"/>
              <w:rFonts w:eastAsiaTheme="minorHAnsi"/>
              <w:szCs w:val="24"/>
              <w:lang w:eastAsia="en-US"/>
            </w:rPr>
            <w:t>lodge@legislation.gov.au</w:t>
          </w:r>
        </w:hyperlink>
      </w:hyperlink>
      <w:r w:rsidRPr="00FD274F">
        <w:t>.</w:t>
      </w:r>
      <w:r>
        <w:t xml:space="preserve"> You will need to provide the user’s full name, contact phone number, government email address and the relevant agency/branch.</w:t>
      </w:r>
      <w:r w:rsidRPr="00FD274F">
        <w:t xml:space="preserve"> The lodgement facility also </w:t>
      </w:r>
      <w:r>
        <w:t>provides additional guidance</w:t>
      </w:r>
      <w:r w:rsidRPr="00FD274F">
        <w:t xml:space="preserve"> </w:t>
      </w:r>
      <w:r>
        <w:t>material</w:t>
      </w:r>
      <w:r w:rsidRPr="00FD274F">
        <w:t xml:space="preserve"> to </w:t>
      </w:r>
      <w:r>
        <w:t xml:space="preserve">support users and </w:t>
      </w:r>
      <w:r w:rsidRPr="00FD274F">
        <w:t>make t</w:t>
      </w:r>
      <w:r>
        <w:t>he lodgement process as easy as possible.</w:t>
      </w:r>
    </w:p>
    <w:p w14:paraId="639305F9" w14:textId="77777777" w:rsidR="00E86304" w:rsidRPr="00FD274F" w:rsidRDefault="00E86304" w:rsidP="00E86304">
      <w:pPr>
        <w:pStyle w:val="BodyNum"/>
      </w:pPr>
      <w:r w:rsidRPr="00FD274F">
        <w:t>As part of the lodgement process, the lodging agency will need to choose the appropriate lodgement type (that is, legislative instrument or notifiable instrument as discusse</w:t>
      </w:r>
      <w:r w:rsidRPr="001E349A">
        <w:t xml:space="preserve">d in </w:t>
      </w:r>
      <w:hyperlink w:anchor="Chapter2" w:history="1">
        <w:r w:rsidRPr="001E349A">
          <w:rPr>
            <w:rStyle w:val="Hyperlink"/>
          </w:rPr>
          <w:t>Chapter 2</w:t>
        </w:r>
      </w:hyperlink>
      <w:r w:rsidRPr="001E349A">
        <w:t>) a</w:t>
      </w:r>
      <w:r w:rsidRPr="00FD274F">
        <w:t>nd supply information including:</w:t>
      </w:r>
    </w:p>
    <w:p w14:paraId="1A591E54" w14:textId="77777777" w:rsidR="00E86304" w:rsidRDefault="00E86304" w:rsidP="00E86304">
      <w:pPr>
        <w:pStyle w:val="BodyPara"/>
      </w:pPr>
      <w:r w:rsidRPr="00FD274F">
        <w:t>the name of the instrument</w:t>
      </w:r>
      <w:r>
        <w:t xml:space="preserve"> according to its citation provision;</w:t>
      </w:r>
      <w:r w:rsidRPr="00FD274F">
        <w:t xml:space="preserve"> and</w:t>
      </w:r>
    </w:p>
    <w:p w14:paraId="67ED37DB" w14:textId="77777777" w:rsidR="00E86304" w:rsidRDefault="00E86304" w:rsidP="00E86304">
      <w:pPr>
        <w:pStyle w:val="BodyPara"/>
      </w:pPr>
      <w:r w:rsidRPr="00FD274F">
        <w:t xml:space="preserve">the name and relevant provision of the instrument’s </w:t>
      </w:r>
      <w:r>
        <w:t>authorising</w:t>
      </w:r>
      <w:r w:rsidRPr="00FD274F">
        <w:t xml:space="preserve"> legislation; and</w:t>
      </w:r>
    </w:p>
    <w:p w14:paraId="1284C75F" w14:textId="77777777" w:rsidR="00E86304" w:rsidRPr="00FD274F" w:rsidRDefault="00E86304" w:rsidP="00E86304">
      <w:pPr>
        <w:pStyle w:val="BodyPara"/>
      </w:pPr>
      <w:r>
        <w:t>the details</w:t>
      </w:r>
      <w:r w:rsidRPr="00FD274F">
        <w:t xml:space="preserve"> of any instrument that it affects; and</w:t>
      </w:r>
    </w:p>
    <w:p w14:paraId="0AE12FD4" w14:textId="77777777" w:rsidR="00E86304" w:rsidRDefault="00E86304" w:rsidP="00E86304">
      <w:pPr>
        <w:pStyle w:val="BodyPara"/>
      </w:pPr>
      <w:r w:rsidRPr="00FD274F">
        <w:t>details of any special requirement e.g. for registration on or before a specified date, or for express or peak period service as discussed i</w:t>
      </w:r>
      <w:r w:rsidRPr="001E349A">
        <w:t xml:space="preserve">n paragraph </w:t>
      </w:r>
      <w:r w:rsidRPr="004849C6">
        <w:fldChar w:fldCharType="begin"/>
      </w:r>
      <w:r w:rsidRPr="001E349A">
        <w:instrText xml:space="preserve"> REF _Ref434314290 \r \h  \* MERGEFORMAT </w:instrText>
      </w:r>
      <w:r w:rsidRPr="004849C6">
        <w:fldChar w:fldCharType="separate"/>
      </w:r>
      <w:r>
        <w:t>162</w:t>
      </w:r>
      <w:r w:rsidRPr="004849C6">
        <w:fldChar w:fldCharType="end"/>
      </w:r>
      <w:r>
        <w:t>; and</w:t>
      </w:r>
    </w:p>
    <w:p w14:paraId="7BF480D9" w14:textId="77777777" w:rsidR="00E86304" w:rsidRDefault="00E86304" w:rsidP="00E86304">
      <w:pPr>
        <w:pStyle w:val="BodyPara"/>
      </w:pPr>
      <w:r w:rsidRPr="00FD274F">
        <w:t>the name and contact details of a person who can answer questions about th</w:t>
      </w:r>
      <w:r>
        <w:t xml:space="preserve">e instrument, as well as an alternate contact should </w:t>
      </w:r>
      <w:proofErr w:type="spellStart"/>
      <w:r>
        <w:t>OPC</w:t>
      </w:r>
      <w:proofErr w:type="spellEnd"/>
      <w:r>
        <w:t xml:space="preserve"> be unable to get in touch with the primary contact.</w:t>
      </w:r>
    </w:p>
    <w:p w14:paraId="6E0004CF" w14:textId="77777777" w:rsidR="00E86304" w:rsidRPr="00FD274F" w:rsidRDefault="00E86304" w:rsidP="00E86304">
      <w:pPr>
        <w:pStyle w:val="BodyNum"/>
      </w:pPr>
      <w:r w:rsidRPr="00FD274F">
        <w:t xml:space="preserve">Please ensure that the </w:t>
      </w:r>
      <w:r>
        <w:t xml:space="preserve">contact </w:t>
      </w:r>
      <w:r w:rsidRPr="00FD274F">
        <w:t>person nominated to answer questions about the instrument is familiar with the instrument in question</w:t>
      </w:r>
      <w:r>
        <w:t xml:space="preserve">, has access to the </w:t>
      </w:r>
      <w:r w:rsidRPr="00FD274F">
        <w:rPr>
          <w:szCs w:val="24"/>
        </w:rPr>
        <w:t xml:space="preserve">lodgement facility at </w:t>
      </w:r>
      <w:hyperlink r:id="rId235" w:history="1">
        <w:r w:rsidRPr="00FD274F">
          <w:rPr>
            <w:rStyle w:val="Hyperlink"/>
            <w:szCs w:val="24"/>
          </w:rPr>
          <w:t>https://lodge.legislation.gov.au</w:t>
        </w:r>
      </w:hyperlink>
      <w:r w:rsidRPr="00FD274F">
        <w:t>, and provide</w:t>
      </w:r>
      <w:r>
        <w:t>s</w:t>
      </w:r>
      <w:r w:rsidRPr="00FD274F">
        <w:t xml:space="preserve"> their mobile or after</w:t>
      </w:r>
      <w:r>
        <w:noBreakHyphen/>
      </w:r>
      <w:r w:rsidRPr="00FD274F">
        <w:t xml:space="preserve">hours phone number if express registration is required. Otherwise, if statutory requirements have not been met, it may not be possible for </w:t>
      </w:r>
      <w:proofErr w:type="spellStart"/>
      <w:r w:rsidRPr="00FD274F">
        <w:t>OPC</w:t>
      </w:r>
      <w:proofErr w:type="spellEnd"/>
      <w:r w:rsidRPr="00FD274F">
        <w:t xml:space="preserve"> to meet the requir</w:t>
      </w:r>
      <w:r>
        <w:t>ement for express registration.</w:t>
      </w:r>
    </w:p>
    <w:p w14:paraId="11C55C55" w14:textId="77777777" w:rsidR="00E86304" w:rsidRPr="00FD274F" w:rsidRDefault="00E86304" w:rsidP="00E86304">
      <w:pPr>
        <w:pStyle w:val="BodyNum"/>
      </w:pPr>
      <w:r w:rsidRPr="00FD274F">
        <w:t>In addition, to ensure that the instrument is processed appropriately after registration, information must also be provided about:</w:t>
      </w:r>
    </w:p>
    <w:p w14:paraId="5B73E858" w14:textId="77777777" w:rsidR="00E86304" w:rsidRDefault="00E86304" w:rsidP="00E86304">
      <w:pPr>
        <w:pStyle w:val="BodyPara"/>
      </w:pPr>
      <w:r w:rsidRPr="00FD274F">
        <w:lastRenderedPageBreak/>
        <w:t xml:space="preserve">whether the instrument is subject to automatic repeal as discussed in </w:t>
      </w:r>
      <w:r w:rsidRPr="004849C6">
        <w:t xml:space="preserve">paragraphs </w:t>
      </w:r>
      <w:r w:rsidRPr="004849C6">
        <w:fldChar w:fldCharType="begin"/>
      </w:r>
      <w:r w:rsidRPr="004849C6">
        <w:instrText xml:space="preserve"> REF _Ref384703176 \r \h  \* MERGEFORMAT </w:instrText>
      </w:r>
      <w:r w:rsidRPr="004849C6">
        <w:fldChar w:fldCharType="separate"/>
      </w:r>
      <w:r>
        <w:t>91</w:t>
      </w:r>
      <w:r w:rsidRPr="004849C6">
        <w:fldChar w:fldCharType="end"/>
      </w:r>
      <w:r w:rsidRPr="004849C6">
        <w:t xml:space="preserve"> to </w:t>
      </w:r>
      <w:r w:rsidRPr="004849C6">
        <w:fldChar w:fldCharType="begin"/>
      </w:r>
      <w:r w:rsidRPr="004849C6">
        <w:instrText xml:space="preserve"> REF _Ref384706703 \r \h </w:instrText>
      </w:r>
      <w:r>
        <w:rPr>
          <w:highlight w:val="yellow"/>
        </w:rPr>
        <w:instrText xml:space="preserve"> \* MERGEFORMAT </w:instrText>
      </w:r>
      <w:r w:rsidRPr="004849C6">
        <w:fldChar w:fldCharType="separate"/>
      </w:r>
      <w:r>
        <w:t>95</w:t>
      </w:r>
      <w:r w:rsidRPr="004849C6">
        <w:fldChar w:fldCharType="end"/>
      </w:r>
      <w:r w:rsidRPr="004849C6">
        <w:t>;</w:t>
      </w:r>
      <w:r>
        <w:t xml:space="preserve"> and</w:t>
      </w:r>
    </w:p>
    <w:p w14:paraId="08A54C0B" w14:textId="77777777" w:rsidR="00E86304" w:rsidRPr="00FD274F" w:rsidRDefault="00E86304" w:rsidP="00E86304">
      <w:pPr>
        <w:pStyle w:val="BodyPara"/>
      </w:pPr>
      <w:r>
        <w:t>whether the instrument or explanatory statement contains meaningful colour; and</w:t>
      </w:r>
    </w:p>
    <w:p w14:paraId="4862EDD4" w14:textId="77777777" w:rsidR="00E86304" w:rsidRPr="00FD274F" w:rsidRDefault="00E86304" w:rsidP="00E86304">
      <w:pPr>
        <w:pStyle w:val="BodyPara"/>
      </w:pPr>
      <w:r w:rsidRPr="00FD274F">
        <w:t>if it is a legislative instrument—whether it is subject to:</w:t>
      </w:r>
    </w:p>
    <w:p w14:paraId="164AC1D3" w14:textId="77777777" w:rsidR="00E86304" w:rsidRPr="00FD274F" w:rsidRDefault="00E86304" w:rsidP="00E86304">
      <w:pPr>
        <w:pStyle w:val="BodySubPara"/>
      </w:pPr>
      <w:r w:rsidRPr="00FD274F">
        <w:t>disallowance as discussed i</w:t>
      </w:r>
      <w:r w:rsidRPr="004849C6">
        <w:t xml:space="preserve">n </w:t>
      </w:r>
      <w:hyperlink w:anchor="Chapter9" w:history="1">
        <w:r w:rsidRPr="004849C6">
          <w:rPr>
            <w:rStyle w:val="Hyperlink"/>
          </w:rPr>
          <w:t>Chapter</w:t>
        </w:r>
        <w:r>
          <w:rPr>
            <w:rStyle w:val="Hyperlink"/>
          </w:rPr>
          <w:t xml:space="preserve"> 8</w:t>
        </w:r>
      </w:hyperlink>
      <w:r w:rsidRPr="004849C6">
        <w:t>;</w:t>
      </w:r>
      <w:r w:rsidRPr="00FD274F">
        <w:t xml:space="preserve"> and</w:t>
      </w:r>
    </w:p>
    <w:p w14:paraId="4CFA6D08" w14:textId="77777777" w:rsidR="00E86304" w:rsidRPr="00FD274F" w:rsidRDefault="00E86304" w:rsidP="00E86304">
      <w:pPr>
        <w:pStyle w:val="BodySubPara"/>
      </w:pPr>
      <w:r w:rsidRPr="00FD274F">
        <w:t xml:space="preserve">sunsetting as discussed in </w:t>
      </w:r>
      <w:hyperlink w:anchor="Chapter10" w:history="1">
        <w:r w:rsidRPr="004849C6">
          <w:rPr>
            <w:rStyle w:val="Hyperlink"/>
          </w:rPr>
          <w:t xml:space="preserve">Chapter </w:t>
        </w:r>
        <w:r>
          <w:rPr>
            <w:rStyle w:val="Hyperlink"/>
          </w:rPr>
          <w:t>9</w:t>
        </w:r>
      </w:hyperlink>
      <w:r w:rsidRPr="004849C6">
        <w:t>.</w:t>
      </w:r>
    </w:p>
    <w:p w14:paraId="3E359A48" w14:textId="77777777" w:rsidR="00E86304" w:rsidRPr="00FD274F" w:rsidRDefault="00E86304" w:rsidP="00E86304">
      <w:pPr>
        <w:pStyle w:val="Head4"/>
      </w:pPr>
      <w:r w:rsidRPr="00FD274F">
        <w:t>Step 2: Attach electronic version of instrument</w:t>
      </w:r>
    </w:p>
    <w:p w14:paraId="296C95D9" w14:textId="77777777" w:rsidR="00E86304" w:rsidRDefault="00E86304" w:rsidP="00E86304">
      <w:pPr>
        <w:pStyle w:val="BodyNum"/>
      </w:pPr>
      <w:r>
        <w:t xml:space="preserve">Prior to attaching, please ensure that the electronic version of the instrument is an </w:t>
      </w:r>
      <w:r w:rsidRPr="009E45AF">
        <w:t>exact copy</w:t>
      </w:r>
      <w:r>
        <w:t xml:space="preserve"> of the instrument as made by the rule-maker and includes any annotations made on the instrument by the rule-maker, including the making date. Where the rule-maker has used strikethrough to indicate the deletion of text, that text should not be included in the electronic version of the instrument.</w:t>
      </w:r>
    </w:p>
    <w:p w14:paraId="45BD6991" w14:textId="77777777" w:rsidR="00E86304" w:rsidRPr="00FD274F" w:rsidRDefault="00E86304" w:rsidP="00E86304">
      <w:pPr>
        <w:pStyle w:val="BodyNum"/>
      </w:pPr>
      <w:r>
        <w:t>Please a</w:t>
      </w:r>
      <w:r w:rsidRPr="00FD274F">
        <w:t>ttach (upload) an electronic copy of the instrument as made to the online lodgement form. The electronic file:</w:t>
      </w:r>
    </w:p>
    <w:p w14:paraId="0E87C150" w14:textId="77777777" w:rsidR="00E86304" w:rsidRDefault="00E86304" w:rsidP="00E86304">
      <w:pPr>
        <w:pStyle w:val="BodyPara"/>
        <w:tabs>
          <w:tab w:val="left" w:pos="7655"/>
        </w:tabs>
      </w:pPr>
      <w:r w:rsidRPr="00FD274F">
        <w:t xml:space="preserve">must be in </w:t>
      </w:r>
      <w:r w:rsidRPr="00E8679D">
        <w:t>RTF, DOC or DOCX format</w:t>
      </w:r>
      <w:r>
        <w:t xml:space="preserve">, </w:t>
      </w:r>
      <w:r w:rsidRPr="00FD274F">
        <w:t>unless the First Parliamentary Counsel has agreed to some other format (</w:t>
      </w:r>
      <w:r w:rsidRPr="004532FE">
        <w:t xml:space="preserve">see </w:t>
      </w:r>
      <w:hyperlink r:id="rId236" w:history="1">
        <w:r w:rsidRPr="00001937">
          <w:rPr>
            <w:rStyle w:val="Hyperlink"/>
          </w:rPr>
          <w:t>LR</w:t>
        </w:r>
      </w:hyperlink>
      <w:r w:rsidRPr="004532FE">
        <w:t xml:space="preserve"> s </w:t>
      </w:r>
      <w:r>
        <w:t>6</w:t>
      </w:r>
      <w:r w:rsidRPr="004532FE">
        <w:t>(3)); a</w:t>
      </w:r>
      <w:r>
        <w:t>nd</w:t>
      </w:r>
    </w:p>
    <w:p w14:paraId="090FC12E" w14:textId="77777777" w:rsidR="00E86304" w:rsidRPr="00FD274F" w:rsidRDefault="00E86304" w:rsidP="00E86304">
      <w:pPr>
        <w:pStyle w:val="noteToPara"/>
        <w:ind w:left="1429"/>
      </w:pPr>
      <w:r w:rsidRPr="00FD274F">
        <w:t>Note:</w:t>
      </w:r>
      <w:r w:rsidRPr="00FD274F">
        <w:tab/>
      </w:r>
      <w:r>
        <w:t>Our preferred format is DOCX.</w:t>
      </w:r>
    </w:p>
    <w:p w14:paraId="3C72AE25" w14:textId="77777777" w:rsidR="00E86304" w:rsidRDefault="00E86304" w:rsidP="00E86304">
      <w:pPr>
        <w:pStyle w:val="BodyPara"/>
      </w:pPr>
      <w:r>
        <w:t xml:space="preserve">must be able to be readily converted into EPUB, HTML, and PDF formats in a way that maintains consistency between the original and converted formats (see </w:t>
      </w:r>
      <w:hyperlink r:id="rId237" w:history="1">
        <w:r w:rsidRPr="00001937">
          <w:rPr>
            <w:rStyle w:val="Hyperlink"/>
          </w:rPr>
          <w:t>LR</w:t>
        </w:r>
      </w:hyperlink>
      <w:r>
        <w:t xml:space="preserve"> s 6(4)); and</w:t>
      </w:r>
    </w:p>
    <w:p w14:paraId="168F9045" w14:textId="77777777" w:rsidR="00E86304" w:rsidRDefault="00E86304" w:rsidP="00E86304">
      <w:pPr>
        <w:pStyle w:val="BodyPara"/>
      </w:pPr>
      <w:r w:rsidRPr="00FD274F">
        <w:t>must not contain dynamic content that interfere</w:t>
      </w:r>
      <w:r>
        <w:t>s</w:t>
      </w:r>
      <w:r w:rsidRPr="00FD274F">
        <w:t xml:space="preserve"> with the </w:t>
      </w:r>
      <w:r>
        <w:t>accuracy</w:t>
      </w:r>
      <w:r w:rsidRPr="00FD274F">
        <w:t xml:space="preserve"> of the document (se</w:t>
      </w:r>
      <w:r w:rsidRPr="004532FE">
        <w:t xml:space="preserve">e </w:t>
      </w:r>
      <w:hyperlink r:id="rId238" w:history="1">
        <w:r w:rsidRPr="00001937">
          <w:rPr>
            <w:rStyle w:val="Hyperlink"/>
          </w:rPr>
          <w:t>LR</w:t>
        </w:r>
      </w:hyperlink>
      <w:r w:rsidRPr="004532FE">
        <w:t xml:space="preserve"> s </w:t>
      </w:r>
      <w:r>
        <w:t>6</w:t>
      </w:r>
      <w:r w:rsidRPr="004532FE">
        <w:t>(</w:t>
      </w:r>
      <w:r>
        <w:t>5</w:t>
      </w:r>
      <w:r w:rsidRPr="004532FE">
        <w:t>))</w:t>
      </w:r>
      <w:r>
        <w:t>; and</w:t>
      </w:r>
    </w:p>
    <w:p w14:paraId="1C9E5DD7" w14:textId="77777777" w:rsidR="00E86304" w:rsidRDefault="00E86304" w:rsidP="00E86304">
      <w:pPr>
        <w:pStyle w:val="BodyPara"/>
      </w:pPr>
      <w:r>
        <w:t>must include alternative text on all images; and</w:t>
      </w:r>
    </w:p>
    <w:p w14:paraId="0282D27B" w14:textId="77777777" w:rsidR="00E86304" w:rsidRPr="00FD274F" w:rsidRDefault="00E86304" w:rsidP="00E86304">
      <w:pPr>
        <w:pStyle w:val="BodyPara"/>
      </w:pPr>
      <w:r>
        <w:t>must not contain any personal information.</w:t>
      </w:r>
    </w:p>
    <w:p w14:paraId="6FD17632" w14:textId="77777777" w:rsidR="00E86304" w:rsidRPr="00FD274F" w:rsidRDefault="00E86304" w:rsidP="00E86304">
      <w:pPr>
        <w:pStyle w:val="BodyNum"/>
      </w:pPr>
      <w:r>
        <w:t>Once registered, an instrument cannot be removed from the Register, so it is important that any material lodged for registration is appropriate for public access.</w:t>
      </w:r>
    </w:p>
    <w:p w14:paraId="51B0613D" w14:textId="77777777" w:rsidR="00E86304" w:rsidRPr="00FD274F" w:rsidRDefault="00E86304" w:rsidP="00E86304">
      <w:pPr>
        <w:pStyle w:val="Head4"/>
      </w:pPr>
      <w:r w:rsidRPr="00FD274F">
        <w:t>Step 3: If required—attach explanatory statement or other documents</w:t>
      </w:r>
    </w:p>
    <w:p w14:paraId="768F427D" w14:textId="77777777" w:rsidR="00E86304" w:rsidRPr="00FD274F" w:rsidRDefault="00E86304" w:rsidP="00E86304">
      <w:pPr>
        <w:pStyle w:val="BodyNum"/>
      </w:pPr>
      <w:r>
        <w:t xml:space="preserve">The explanatory statement and any supporting material </w:t>
      </w:r>
      <w:r w:rsidRPr="00FD274F">
        <w:t>for the instrument should also be attached (uploaded) to the online lodgement form. As with instruments, these documents:</w:t>
      </w:r>
    </w:p>
    <w:p w14:paraId="70F6B3BD" w14:textId="77777777" w:rsidR="00E86304" w:rsidRPr="00FD274F" w:rsidRDefault="00E86304" w:rsidP="00E86304">
      <w:pPr>
        <w:pStyle w:val="BodyPara"/>
      </w:pPr>
      <w:r w:rsidRPr="00FD274F">
        <w:t xml:space="preserve">must be in </w:t>
      </w:r>
      <w:r w:rsidRPr="00E8679D">
        <w:t>RTF, DOC or DOCX format</w:t>
      </w:r>
      <w:r>
        <w:t>,</w:t>
      </w:r>
      <w:r w:rsidRPr="00FD274F">
        <w:t xml:space="preserve"> unless the First Parliamentary Counsel has agreed to some other forma</w:t>
      </w:r>
      <w:r w:rsidRPr="004532FE">
        <w:t xml:space="preserve">t (see </w:t>
      </w:r>
      <w:hyperlink r:id="rId239" w:history="1">
        <w:r w:rsidRPr="00001937">
          <w:rPr>
            <w:rStyle w:val="Hyperlink"/>
          </w:rPr>
          <w:t>LR</w:t>
        </w:r>
      </w:hyperlink>
      <w:r w:rsidRPr="004532FE">
        <w:t xml:space="preserve"> s </w:t>
      </w:r>
      <w:r>
        <w:t>6</w:t>
      </w:r>
      <w:r w:rsidRPr="004532FE">
        <w:t>(3)); and</w:t>
      </w:r>
    </w:p>
    <w:p w14:paraId="435A3D17" w14:textId="77777777" w:rsidR="00E86304" w:rsidRPr="00FD274F" w:rsidRDefault="00E86304" w:rsidP="00E86304">
      <w:pPr>
        <w:pStyle w:val="noteToPara"/>
        <w:ind w:left="1429"/>
      </w:pPr>
      <w:r w:rsidRPr="00FD274F">
        <w:t>Note:</w:t>
      </w:r>
      <w:r w:rsidRPr="00FD274F">
        <w:tab/>
      </w:r>
      <w:r>
        <w:t>Our preferred format is DOCX.</w:t>
      </w:r>
    </w:p>
    <w:p w14:paraId="77E676B1" w14:textId="77777777" w:rsidR="00E86304" w:rsidRDefault="00E86304" w:rsidP="00E86304">
      <w:pPr>
        <w:pStyle w:val="BodyPara"/>
      </w:pPr>
      <w:r>
        <w:lastRenderedPageBreak/>
        <w:t xml:space="preserve">must be able to be readily converted into EPUB, HTML, and PDF formats in a way that maintains consistency between the original and converted formats (see </w:t>
      </w:r>
      <w:hyperlink r:id="rId240" w:history="1">
        <w:r w:rsidRPr="00001937">
          <w:rPr>
            <w:rStyle w:val="Hyperlink"/>
          </w:rPr>
          <w:t>LR</w:t>
        </w:r>
      </w:hyperlink>
      <w:r>
        <w:t xml:space="preserve"> s 6(4)); and</w:t>
      </w:r>
    </w:p>
    <w:p w14:paraId="5F644E3F" w14:textId="77777777" w:rsidR="00E86304" w:rsidRDefault="00E86304" w:rsidP="00E86304">
      <w:pPr>
        <w:pStyle w:val="BodyPara"/>
      </w:pPr>
      <w:r w:rsidRPr="00FD274F">
        <w:t>must not contain dynamic content that interfere</w:t>
      </w:r>
      <w:r>
        <w:t>s</w:t>
      </w:r>
      <w:r w:rsidRPr="00FD274F">
        <w:t xml:space="preserve"> with the </w:t>
      </w:r>
      <w:r>
        <w:t>accuracy</w:t>
      </w:r>
      <w:r w:rsidRPr="00FD274F">
        <w:t xml:space="preserve"> of the document (se</w:t>
      </w:r>
      <w:r w:rsidRPr="004532FE">
        <w:t xml:space="preserve">e </w:t>
      </w:r>
      <w:hyperlink r:id="rId241" w:history="1">
        <w:r w:rsidRPr="00001937">
          <w:rPr>
            <w:rStyle w:val="Hyperlink"/>
          </w:rPr>
          <w:t>LR</w:t>
        </w:r>
      </w:hyperlink>
      <w:r w:rsidRPr="004532FE">
        <w:t xml:space="preserve"> s </w:t>
      </w:r>
      <w:r>
        <w:t>6</w:t>
      </w:r>
      <w:r w:rsidRPr="004532FE">
        <w:t>(</w:t>
      </w:r>
      <w:r>
        <w:t>5</w:t>
      </w:r>
      <w:r w:rsidRPr="004532FE">
        <w:t>))</w:t>
      </w:r>
      <w:r>
        <w:t>; and</w:t>
      </w:r>
    </w:p>
    <w:p w14:paraId="261AC119" w14:textId="77777777" w:rsidR="00E86304" w:rsidRDefault="00E86304" w:rsidP="00E86304">
      <w:pPr>
        <w:pStyle w:val="BodyPara"/>
      </w:pPr>
      <w:r>
        <w:t>must include alternative text on all images; and</w:t>
      </w:r>
    </w:p>
    <w:p w14:paraId="6B6E995F" w14:textId="77777777" w:rsidR="00E86304" w:rsidRPr="00FD274F" w:rsidRDefault="00E86304" w:rsidP="00E86304">
      <w:pPr>
        <w:pStyle w:val="BodyPara"/>
      </w:pPr>
      <w:r>
        <w:t>must not contain any personal information.</w:t>
      </w:r>
    </w:p>
    <w:p w14:paraId="0CFEC1AF" w14:textId="77777777" w:rsidR="00E86304" w:rsidRDefault="00E86304" w:rsidP="00E86304">
      <w:pPr>
        <w:pStyle w:val="BodyNum"/>
      </w:pPr>
      <w:r>
        <w:t xml:space="preserve">The Register may contain additional documents if the First Parliamentary Counsel considers that the documents are likely to be useful to users of the Register </w:t>
      </w:r>
      <w:r w:rsidRPr="00F74531">
        <w:t xml:space="preserve">(see </w:t>
      </w:r>
      <w:hyperlink r:id="rId242" w:history="1">
        <w:r w:rsidRPr="00F74531">
          <w:rPr>
            <w:rStyle w:val="Hyperlink"/>
          </w:rPr>
          <w:t>LA</w:t>
        </w:r>
      </w:hyperlink>
      <w:r w:rsidRPr="00F74531">
        <w:t xml:space="preserve"> s 15A(3)). An</w:t>
      </w:r>
      <w:r>
        <w:t>y supporting material should be appropriate to publish and likely to be useful to users of the Register. Administrative documents such as briefs to Ministers are not appropriate to be included as supporting material.</w:t>
      </w:r>
    </w:p>
    <w:p w14:paraId="245906E8" w14:textId="77777777" w:rsidR="00E86304" w:rsidRPr="00FD274F" w:rsidRDefault="00E86304" w:rsidP="00E86304">
      <w:pPr>
        <w:pStyle w:val="BodyNum"/>
      </w:pPr>
      <w:r w:rsidRPr="00FD274F">
        <w:t>If the explanatory statement is not yet available, details of when the explanatory statement is likely to be available should be noted in the special requirements field.</w:t>
      </w:r>
    </w:p>
    <w:p w14:paraId="066AABD4" w14:textId="77777777" w:rsidR="00E86304" w:rsidRPr="00FD274F" w:rsidRDefault="00E86304" w:rsidP="00E86304">
      <w:pPr>
        <w:pStyle w:val="Head4"/>
      </w:pPr>
      <w:r w:rsidRPr="00FD274F">
        <w:t>Step 4: Certify the online lodgement</w:t>
      </w:r>
    </w:p>
    <w:p w14:paraId="454EAAAC" w14:textId="77777777" w:rsidR="00E86304" w:rsidRDefault="00E86304" w:rsidP="00E86304">
      <w:pPr>
        <w:pStyle w:val="BodyNum"/>
      </w:pPr>
      <w:r w:rsidRPr="00FD274F">
        <w:t xml:space="preserve">All lodgements must be certified as complete and accurate by the lodging agency </w:t>
      </w:r>
      <w:r>
        <w:t>as part of the lodgement process.</w:t>
      </w:r>
    </w:p>
    <w:p w14:paraId="75F66D56" w14:textId="77777777" w:rsidR="00E86304" w:rsidRPr="00FD274F" w:rsidRDefault="00E86304" w:rsidP="00E86304">
      <w:pPr>
        <w:pStyle w:val="BodyNum"/>
      </w:pPr>
      <w:r w:rsidRPr="00FD274F">
        <w:t xml:space="preserve">As part of certifying a lodgement, the agency should check the lodgement and all attachments carefully against the original documents. It is particularly important to check the electronic </w:t>
      </w:r>
      <w:r>
        <w:t>copy</w:t>
      </w:r>
      <w:r w:rsidRPr="00FD274F">
        <w:t xml:space="preserve"> of the instrument against the instrument as made</w:t>
      </w:r>
      <w:r>
        <w:t xml:space="preserve"> to ensure that the text is the same in both versions</w:t>
      </w:r>
      <w:r w:rsidRPr="00FD274F">
        <w:t>. As part of this</w:t>
      </w:r>
      <w:r>
        <w:t xml:space="preserve">, </w:t>
      </w:r>
      <w:r w:rsidRPr="00FD274F">
        <w:t>the following must be included in the electronic copy</w:t>
      </w:r>
      <w:r>
        <w:t>:</w:t>
      </w:r>
    </w:p>
    <w:p w14:paraId="09CD68D1" w14:textId="77777777" w:rsidR="00E86304" w:rsidRDefault="00E86304" w:rsidP="00E86304">
      <w:pPr>
        <w:pStyle w:val="BodyPara"/>
      </w:pPr>
      <w:r w:rsidRPr="00FD274F">
        <w:t>anything written by the rule</w:t>
      </w:r>
      <w:r>
        <w:noBreakHyphen/>
      </w:r>
      <w:r w:rsidRPr="00FD274F">
        <w:t>maker on the original instrument;</w:t>
      </w:r>
    </w:p>
    <w:p w14:paraId="283AD50C" w14:textId="77777777" w:rsidR="00E86304" w:rsidRDefault="00E86304" w:rsidP="00E86304">
      <w:pPr>
        <w:pStyle w:val="BodyPara"/>
      </w:pPr>
      <w:r>
        <w:t>tracked changes, revisions or strikethrough, approved by the rule-maker, accepted to appear as normal text;</w:t>
      </w:r>
    </w:p>
    <w:p w14:paraId="740BECE5" w14:textId="77777777" w:rsidR="00E86304" w:rsidRDefault="00E86304" w:rsidP="00E86304">
      <w:pPr>
        <w:pStyle w:val="BodyPara"/>
      </w:pPr>
      <w:r w:rsidRPr="00FD274F">
        <w:t>anything written on the original instrument by someone else before the rule</w:t>
      </w:r>
      <w:r>
        <w:noBreakHyphen/>
      </w:r>
      <w:r w:rsidRPr="00FD274F">
        <w:t>maker signed the instrument;</w:t>
      </w:r>
    </w:p>
    <w:p w14:paraId="088C0E99" w14:textId="77777777" w:rsidR="00E86304" w:rsidRDefault="00E86304" w:rsidP="00E86304">
      <w:pPr>
        <w:pStyle w:val="BodyPara"/>
      </w:pPr>
      <w:r w:rsidRPr="00FD274F">
        <w:t>any date given in the signed instrument as the date of making;</w:t>
      </w:r>
    </w:p>
    <w:p w14:paraId="0018AB60" w14:textId="77777777" w:rsidR="00E86304" w:rsidRDefault="00E86304" w:rsidP="00E86304">
      <w:pPr>
        <w:pStyle w:val="BodyPara"/>
      </w:pPr>
      <w:r w:rsidRPr="00FD274F">
        <w:t>the name as signed of each maker of the instrument and each other person who signed the instrument as made (e.g. a person who witnessed the rule</w:t>
      </w:r>
      <w:r>
        <w:noBreakHyphen/>
      </w:r>
      <w:r w:rsidRPr="00FD274F">
        <w:t>maker’s signature)</w:t>
      </w:r>
      <w:r>
        <w:t>.</w:t>
      </w:r>
    </w:p>
    <w:p w14:paraId="4D73204C" w14:textId="77777777" w:rsidR="00E86304" w:rsidRDefault="00E86304" w:rsidP="00E86304">
      <w:pPr>
        <w:pStyle w:val="BodyNum"/>
      </w:pPr>
      <w:r w:rsidRPr="00FD274F">
        <w:t>It is generally not necessary for the electronic form of the instrument to include a scan of the rule</w:t>
      </w:r>
      <w:r>
        <w:noBreakHyphen/>
      </w:r>
      <w:r w:rsidRPr="00FD274F">
        <w:t>maker’s signature or the notation “signed”.</w:t>
      </w:r>
      <w:r>
        <w:t xml:space="preserve"> It should be clear from the text that the instrument has in fact been signed.</w:t>
      </w:r>
      <w:r w:rsidRPr="00FD274F">
        <w:t xml:space="preserve"> </w:t>
      </w:r>
      <w:proofErr w:type="spellStart"/>
      <w:r>
        <w:t>OPC</w:t>
      </w:r>
      <w:proofErr w:type="spellEnd"/>
      <w:r>
        <w:t xml:space="preserve"> does not require you to produce the signed instrument as a matter of course. However, if there are questions or concerns, you may be asked to provide it to assist in clarifying the issue to be resolved.</w:t>
      </w:r>
    </w:p>
    <w:p w14:paraId="54AAD3B5" w14:textId="77777777" w:rsidR="00E86304" w:rsidRPr="001C63D8" w:rsidRDefault="00E86304" w:rsidP="00E86304">
      <w:pPr>
        <w:pStyle w:val="BodyNum"/>
      </w:pPr>
      <w:bookmarkStart w:id="90" w:name="_Ref81732483"/>
      <w:r w:rsidRPr="001C63D8">
        <w:lastRenderedPageBreak/>
        <w:t>To deal with instruments that have been made by applying an electronic signature, the person lodging the instrument for registration must certify that the rule-maker applied their signature personally. At a minimum, there should be evidence that the signature was applied personally by the rule-maker, such as:</w:t>
      </w:r>
      <w:bookmarkEnd w:id="90"/>
    </w:p>
    <w:p w14:paraId="3888B4E6" w14:textId="77777777" w:rsidR="00E86304" w:rsidRPr="001C63D8" w:rsidRDefault="00E86304" w:rsidP="00E86304">
      <w:pPr>
        <w:pStyle w:val="BodyPara"/>
      </w:pPr>
      <w:r>
        <w:t>d</w:t>
      </w:r>
      <w:r w:rsidRPr="001C63D8">
        <w:t>ocumentary evidence from a person who witnessed (or virtually witnessed) the signature being personally applied to the instrument by the rule-maker; or</w:t>
      </w:r>
    </w:p>
    <w:p w14:paraId="6F90B5D7" w14:textId="77777777" w:rsidR="00E86304" w:rsidRPr="001C63D8" w:rsidRDefault="00E86304" w:rsidP="00E86304">
      <w:pPr>
        <w:pStyle w:val="BodyPara"/>
      </w:pPr>
      <w:r>
        <w:t>e</w:t>
      </w:r>
      <w:r w:rsidRPr="001C63D8">
        <w:t>vidence that the rule-maker’s electronic signature is locked in such a way that only the rule-maker can access and apply it.</w:t>
      </w:r>
    </w:p>
    <w:p w14:paraId="1D9CF497" w14:textId="77777777" w:rsidR="00E86304" w:rsidRPr="00FD274F" w:rsidRDefault="00E86304" w:rsidP="00E86304">
      <w:pPr>
        <w:pStyle w:val="BodyNum"/>
      </w:pPr>
      <w:r w:rsidRPr="00FD274F">
        <w:t>It is important to take the certification requirement seriously, and to check each document attached to a submission. Submitting incorrect information may be a breach of the A</w:t>
      </w:r>
      <w:r w:rsidRPr="004532FE">
        <w:t>PS Code of Conduct</w:t>
      </w:r>
      <w:r w:rsidRPr="004532FE">
        <w:rPr>
          <w:rStyle w:val="FootnoteReference"/>
        </w:rPr>
        <w:footnoteReference w:id="17"/>
      </w:r>
      <w:r w:rsidRPr="004532FE">
        <w:t>, a</w:t>
      </w:r>
      <w:r w:rsidRPr="00FD274F">
        <w:t xml:space="preserve">nd can have serious consequences for an agency and for government policy (see </w:t>
      </w:r>
      <w:r w:rsidRPr="001414D9">
        <w:t xml:space="preserve">paragraphs </w:t>
      </w:r>
      <w:r w:rsidRPr="00F74531">
        <w:fldChar w:fldCharType="begin"/>
      </w:r>
      <w:r w:rsidRPr="001414D9">
        <w:instrText xml:space="preserve"> REF _Ref442361469 \r \h  \* MERGEFORMAT </w:instrText>
      </w:r>
      <w:r w:rsidRPr="00F74531">
        <w:fldChar w:fldCharType="separate"/>
      </w:r>
      <w:r>
        <w:t>186</w:t>
      </w:r>
      <w:r w:rsidRPr="00F74531">
        <w:fldChar w:fldCharType="end"/>
      </w:r>
      <w:r w:rsidRPr="001414D9">
        <w:t xml:space="preserve"> to</w:t>
      </w:r>
      <w:r>
        <w:t xml:space="preserve"> </w:t>
      </w:r>
      <w:r>
        <w:fldChar w:fldCharType="begin"/>
      </w:r>
      <w:r>
        <w:instrText xml:space="preserve"> REF _Ref184283856 \r \h </w:instrText>
      </w:r>
      <w:r>
        <w:fldChar w:fldCharType="separate"/>
      </w:r>
      <w:r>
        <w:t>196</w:t>
      </w:r>
      <w:r>
        <w:fldChar w:fldCharType="end"/>
      </w:r>
      <w:r w:rsidRPr="001414D9">
        <w:t>).</w:t>
      </w:r>
      <w:r>
        <w:t xml:space="preserve"> </w:t>
      </w:r>
      <w:r>
        <w:rPr>
          <w:spacing w:val="-2"/>
        </w:rPr>
        <w:t xml:space="preserve">A lodgement is complete once an accurate lodgement form is certified and submitted to </w:t>
      </w:r>
      <w:proofErr w:type="spellStart"/>
      <w:r>
        <w:rPr>
          <w:spacing w:val="-2"/>
        </w:rPr>
        <w:t>OPC</w:t>
      </w:r>
      <w:proofErr w:type="spellEnd"/>
      <w:r>
        <w:rPr>
          <w:spacing w:val="-2"/>
        </w:rPr>
        <w:t>.</w:t>
      </w:r>
    </w:p>
    <w:p w14:paraId="29600585" w14:textId="77777777" w:rsidR="00E86304" w:rsidRPr="00FD274F" w:rsidRDefault="00E86304" w:rsidP="00E86304">
      <w:pPr>
        <w:pStyle w:val="Head4"/>
      </w:pPr>
      <w:r>
        <w:t>Withdrawing incomplete or inaccurate lodgements</w:t>
      </w:r>
    </w:p>
    <w:p w14:paraId="63C08FCA" w14:textId="77777777" w:rsidR="00E86304" w:rsidRDefault="00E86304" w:rsidP="00E86304">
      <w:pPr>
        <w:pStyle w:val="BodyNum"/>
      </w:pPr>
      <w:r>
        <w:t xml:space="preserve">If you become aware that a lodgement is incomplete or inaccurate before registration, you must withdraw it as soon as practicable </w:t>
      </w:r>
      <w:r w:rsidRPr="004532FE">
        <w:t>(</w:t>
      </w:r>
      <w:hyperlink r:id="rId243" w:history="1">
        <w:r w:rsidRPr="00001937">
          <w:rPr>
            <w:rStyle w:val="Hyperlink"/>
          </w:rPr>
          <w:t>LR</w:t>
        </w:r>
      </w:hyperlink>
      <w:r w:rsidRPr="004532FE">
        <w:t xml:space="preserve"> s </w:t>
      </w:r>
      <w:r>
        <w:t>7</w:t>
      </w:r>
      <w:r w:rsidRPr="004532FE">
        <w:t>(3))</w:t>
      </w:r>
      <w:r>
        <w:t>. There are two methods for withdrawal, as outlined below.</w:t>
      </w:r>
    </w:p>
    <w:p w14:paraId="6D59155E" w14:textId="77777777" w:rsidR="00E86304" w:rsidRPr="00580155" w:rsidRDefault="00E86304" w:rsidP="00E86304">
      <w:pPr>
        <w:pStyle w:val="BodyPara"/>
        <w:rPr>
          <w:b/>
          <w:bCs/>
        </w:rPr>
      </w:pPr>
      <w:r>
        <w:rPr>
          <w:b/>
          <w:bCs/>
        </w:rPr>
        <w:t>Using the withdraw button:</w:t>
      </w:r>
      <w:r>
        <w:t xml:space="preserve"> this deletes the lodgement form permanently, and is best used if you will not proceed with that lodgement. For example, if an instrument is accidentally lodged twice, the withdraw button should be used to permanently delete the duplicate lodgement.</w:t>
      </w:r>
    </w:p>
    <w:p w14:paraId="0D95A0F3" w14:textId="77777777" w:rsidR="00E86304" w:rsidRPr="00580155" w:rsidRDefault="00E86304" w:rsidP="00E86304">
      <w:pPr>
        <w:pStyle w:val="BodyPara"/>
        <w:rPr>
          <w:b/>
          <w:bCs/>
        </w:rPr>
      </w:pPr>
      <w:r>
        <w:rPr>
          <w:b/>
          <w:bCs/>
        </w:rPr>
        <w:t>Requesting control of the form:</w:t>
      </w:r>
      <w:r>
        <w:t xml:space="preserve"> this allows changes to be made without needing to start again with a new lodgement form. When you request control you can reupload the document and make changes to the information provided in the lodgement form. Requesting control would be more appropriate than using the withdraw button if, for example, the making date had not been included on the cover page. If you request control of your lodgement form, you will need to recertify and resubmit your lodgement.</w:t>
      </w:r>
    </w:p>
    <w:p w14:paraId="404C5009" w14:textId="77777777" w:rsidR="00E86304" w:rsidRDefault="00E86304" w:rsidP="00E86304">
      <w:pPr>
        <w:pStyle w:val="BodyNum"/>
      </w:pPr>
      <w:r>
        <w:t xml:space="preserve">When withdrawing a lodgement by either method, please contact </w:t>
      </w:r>
      <w:proofErr w:type="spellStart"/>
      <w:r>
        <w:t>OPC</w:t>
      </w:r>
      <w:proofErr w:type="spellEnd"/>
      <w:r>
        <w:t xml:space="preserve"> to let us know. If an error is found in an instrument published on the Register</w:t>
      </w:r>
      <w:r w:rsidRPr="00FD274F">
        <w:t xml:space="preserve">, </w:t>
      </w:r>
      <w:r>
        <w:t>the First Parliamentary Counsel must be notified</w:t>
      </w:r>
      <w:r w:rsidRPr="00FD274F">
        <w:t xml:space="preserve"> without delay (</w:t>
      </w:r>
      <w:hyperlink r:id="rId244" w:history="1">
        <w:r w:rsidRPr="005547CD">
          <w:rPr>
            <w:rStyle w:val="Hyperlink"/>
          </w:rPr>
          <w:t>LA</w:t>
        </w:r>
      </w:hyperlink>
      <w:r w:rsidRPr="005547CD">
        <w:t xml:space="preserve"> s 15L(1)(e)). Fo</w:t>
      </w:r>
      <w:r w:rsidRPr="00FD274F">
        <w:t>r further guidance on how to report events affecting the accuracy and completeness of the Register, s</w:t>
      </w:r>
      <w:r w:rsidRPr="005B0CC1">
        <w:t xml:space="preserve">ee </w:t>
      </w:r>
      <w:hyperlink w:anchor="Chapter6" w:history="1">
        <w:r w:rsidRPr="005B0CC1">
          <w:rPr>
            <w:rStyle w:val="Hyperlink"/>
          </w:rPr>
          <w:t>Chapter </w:t>
        </w:r>
        <w:r>
          <w:rPr>
            <w:rStyle w:val="Hyperlink"/>
          </w:rPr>
          <w:t>5</w:t>
        </w:r>
      </w:hyperlink>
      <w:r w:rsidRPr="00FD274F">
        <w:t>.</w:t>
      </w:r>
    </w:p>
    <w:p w14:paraId="4AA7473B" w14:textId="77777777" w:rsidR="00E86304" w:rsidRPr="00942031" w:rsidRDefault="00E86304" w:rsidP="00E86304">
      <w:pPr>
        <w:pStyle w:val="BodyNum"/>
      </w:pPr>
      <w:r>
        <w:rPr>
          <w:spacing w:val="-2"/>
        </w:rPr>
        <w:t>If the lodgement form including any attached documents is required to be resubmitted and recertified, the lodgement date and time for the purpose of any relevant additional fees is the date and time when last certified before registration. Please make sure the registration requirements accurately reflect the priority of the document when relodged.</w:t>
      </w:r>
    </w:p>
    <w:p w14:paraId="0E6473BC" w14:textId="77777777" w:rsidR="00E86304" w:rsidRPr="00FD274F" w:rsidRDefault="00E86304" w:rsidP="00E86304">
      <w:pPr>
        <w:pStyle w:val="Head4"/>
      </w:pPr>
      <w:r w:rsidRPr="00FD274F">
        <w:lastRenderedPageBreak/>
        <w:t>Standard timeframes for registration</w:t>
      </w:r>
    </w:p>
    <w:p w14:paraId="3EB8A9D8" w14:textId="77777777" w:rsidR="00E86304" w:rsidRPr="00FD274F" w:rsidRDefault="00E86304" w:rsidP="00E86304">
      <w:pPr>
        <w:pStyle w:val="BodyNum"/>
      </w:pPr>
      <w:r w:rsidRPr="00FD274F">
        <w:t xml:space="preserve">Two full working days after certification </w:t>
      </w:r>
      <w:r>
        <w:t>or recertification</w:t>
      </w:r>
      <w:r w:rsidRPr="00FD274F">
        <w:t xml:space="preserve"> should generally be allowed for standard pre</w:t>
      </w:r>
      <w:r>
        <w:noBreakHyphen/>
      </w:r>
      <w:r w:rsidRPr="00FD274F">
        <w:t xml:space="preserve">registration processes and another three working days for </w:t>
      </w:r>
      <w:proofErr w:type="spellStart"/>
      <w:r w:rsidRPr="00FD274F">
        <w:t>OPC</w:t>
      </w:r>
      <w:proofErr w:type="spellEnd"/>
      <w:r w:rsidRPr="00FD274F">
        <w:t xml:space="preserve"> to lodge documents for tabling during sitting periods. A longer lead time is recommended if documents:</w:t>
      </w:r>
    </w:p>
    <w:p w14:paraId="4D58A64C" w14:textId="77777777" w:rsidR="00E86304" w:rsidRDefault="00E86304" w:rsidP="00E86304">
      <w:pPr>
        <w:pStyle w:val="BodyPara"/>
      </w:pPr>
      <w:r w:rsidRPr="00FD274F">
        <w:t>are lodged in a non</w:t>
      </w:r>
      <w:r>
        <w:noBreakHyphen/>
      </w:r>
      <w:r w:rsidRPr="00FD274F">
        <w:t>standard format—please note this requires the prior approval of the Fir</w:t>
      </w:r>
      <w:r w:rsidRPr="004532FE">
        <w:t>st Parliamentary Counsel (</w:t>
      </w:r>
      <w:hyperlink r:id="rId245" w:history="1">
        <w:r w:rsidRPr="00001937">
          <w:rPr>
            <w:rStyle w:val="Hyperlink"/>
          </w:rPr>
          <w:t>LR</w:t>
        </w:r>
      </w:hyperlink>
      <w:r w:rsidRPr="004532FE">
        <w:t xml:space="preserve"> s </w:t>
      </w:r>
      <w:r>
        <w:t>6</w:t>
      </w:r>
      <w:r w:rsidRPr="004532FE">
        <w:t>(3)); or</w:t>
      </w:r>
    </w:p>
    <w:p w14:paraId="5CF0A1DA" w14:textId="77777777" w:rsidR="00E86304" w:rsidRPr="00FD274F" w:rsidRDefault="00E86304" w:rsidP="00E86304">
      <w:pPr>
        <w:pStyle w:val="BodyPara"/>
      </w:pPr>
      <w:r>
        <w:t>do not have a name or a unique name—the First Parliamentary Counsel</w:t>
      </w:r>
      <w:r w:rsidRPr="00FD274F">
        <w:t xml:space="preserve"> may name or rename </w:t>
      </w:r>
      <w:r>
        <w:t>instruments</w:t>
      </w:r>
      <w:r w:rsidRPr="00FD274F">
        <w:t xml:space="preserve"> if they do not have a name that is unique (</w:t>
      </w:r>
      <w:r w:rsidRPr="005547CD">
        <w:t xml:space="preserve">see </w:t>
      </w:r>
      <w:hyperlink r:id="rId246" w:history="1">
        <w:r w:rsidRPr="005547CD">
          <w:rPr>
            <w:rStyle w:val="Hyperlink"/>
          </w:rPr>
          <w:t>LA</w:t>
        </w:r>
      </w:hyperlink>
      <w:r w:rsidRPr="005547CD">
        <w:t xml:space="preserve"> s 15M(b)</w:t>
      </w:r>
      <w:r w:rsidRPr="00FD274F">
        <w:t xml:space="preserve"> and </w:t>
      </w:r>
      <w:hyperlink r:id="rId247" w:history="1">
        <w:r w:rsidRPr="00001937">
          <w:rPr>
            <w:rStyle w:val="Hyperlink"/>
          </w:rPr>
          <w:t>LR</w:t>
        </w:r>
      </w:hyperlink>
      <w:r w:rsidRPr="004532FE">
        <w:t xml:space="preserve"> s 1</w:t>
      </w:r>
      <w:r>
        <w:t>1</w:t>
      </w:r>
      <w:r w:rsidRPr="004532FE">
        <w:t>); or</w:t>
      </w:r>
    </w:p>
    <w:p w14:paraId="167E05C9" w14:textId="77777777" w:rsidR="00E86304" w:rsidRPr="00FD274F" w:rsidRDefault="00E86304" w:rsidP="00E86304">
      <w:pPr>
        <w:pStyle w:val="BodyPara"/>
      </w:pPr>
      <w:r w:rsidRPr="00FD274F">
        <w:t xml:space="preserve">are large, or contain a mathematical formula, a long table </w:t>
      </w:r>
      <w:r>
        <w:t>or other complex formatting; or</w:t>
      </w:r>
    </w:p>
    <w:p w14:paraId="7BB09E79" w14:textId="77777777" w:rsidR="00E86304" w:rsidRPr="00FD274F" w:rsidRDefault="00E86304" w:rsidP="00E86304">
      <w:pPr>
        <w:pStyle w:val="BodyPara"/>
      </w:pPr>
      <w:r w:rsidRPr="00FD274F">
        <w:t>need special handling—requirements such as colour printing should be clearly flagged no later than the time of lodgement; or</w:t>
      </w:r>
    </w:p>
    <w:p w14:paraId="41BC7979" w14:textId="77777777" w:rsidR="00E86304" w:rsidRPr="00FD274F" w:rsidRDefault="00E86304" w:rsidP="00E86304">
      <w:pPr>
        <w:pStyle w:val="BodyPara"/>
      </w:pPr>
      <w:r w:rsidRPr="00FD274F">
        <w:t xml:space="preserve">need to be registered during peak periods notified in advance—additional fees may also apply </w:t>
      </w:r>
      <w:r w:rsidRPr="00590BCB">
        <w:t xml:space="preserve">(see paragraph </w:t>
      </w:r>
      <w:r w:rsidRPr="005547CD">
        <w:fldChar w:fldCharType="begin"/>
      </w:r>
      <w:r w:rsidRPr="00590BCB">
        <w:instrText xml:space="preserve"> REF _Ref434314290 \r \h  \* MERGEFORMAT </w:instrText>
      </w:r>
      <w:r w:rsidRPr="005547CD">
        <w:fldChar w:fldCharType="separate"/>
      </w:r>
      <w:r>
        <w:t>162</w:t>
      </w:r>
      <w:r w:rsidRPr="005547CD">
        <w:fldChar w:fldCharType="end"/>
      </w:r>
      <w:r w:rsidRPr="00590BCB">
        <w:t>).</w:t>
      </w:r>
    </w:p>
    <w:p w14:paraId="768CF7FC" w14:textId="77777777" w:rsidR="00E86304" w:rsidRPr="00FD274F" w:rsidRDefault="00E86304" w:rsidP="00E86304">
      <w:pPr>
        <w:pStyle w:val="BodyNum"/>
      </w:pPr>
      <w:r w:rsidRPr="00FD274F">
        <w:t xml:space="preserve">As soon as an instrument is registered and available on the Register website, an email notification will be sent to the address nominated in the lodgement. If registration is likely to be delayed significantly, </w:t>
      </w:r>
      <w:proofErr w:type="spellStart"/>
      <w:r w:rsidRPr="00FD274F">
        <w:t>OPC</w:t>
      </w:r>
      <w:proofErr w:type="spellEnd"/>
      <w:r w:rsidRPr="00FD274F">
        <w:t xml:space="preserve"> will</w:t>
      </w:r>
      <w:r>
        <w:t xml:space="preserve"> contact </w:t>
      </w:r>
      <w:r w:rsidRPr="00FD274F">
        <w:t xml:space="preserve">the lodging agency to discuss the matter. </w:t>
      </w:r>
      <w:r>
        <w:t>Please note,</w:t>
      </w:r>
      <w:r w:rsidRPr="00FD274F">
        <w:t xml:space="preserve"> it </w:t>
      </w:r>
      <w:r>
        <w:t>may</w:t>
      </w:r>
      <w:r w:rsidRPr="00FD274F">
        <w:t xml:space="preserve"> not </w:t>
      </w:r>
      <w:r>
        <w:t xml:space="preserve">be </w:t>
      </w:r>
      <w:r w:rsidRPr="00FD274F">
        <w:t>possible to register an instrument:</w:t>
      </w:r>
    </w:p>
    <w:p w14:paraId="1912875E" w14:textId="77777777" w:rsidR="00E86304" w:rsidRPr="00FD274F" w:rsidRDefault="00E86304" w:rsidP="00E86304">
      <w:pPr>
        <w:pStyle w:val="BodyPara"/>
      </w:pPr>
      <w:r w:rsidRPr="00FD274F">
        <w:t>because statutory req</w:t>
      </w:r>
      <w:r>
        <w:t>uirements have not been met; or</w:t>
      </w:r>
    </w:p>
    <w:p w14:paraId="76DFEEB2" w14:textId="77777777" w:rsidR="00E86304" w:rsidRPr="00FD274F" w:rsidRDefault="00E86304" w:rsidP="00E86304">
      <w:pPr>
        <w:pStyle w:val="BodyPara"/>
      </w:pPr>
      <w:r w:rsidRPr="00FD274F">
        <w:t>bec</w:t>
      </w:r>
      <w:r>
        <w:t>ause of technical difficulties.</w:t>
      </w:r>
    </w:p>
    <w:p w14:paraId="07D522CC" w14:textId="77777777" w:rsidR="00E86304" w:rsidRPr="00FD274F" w:rsidRDefault="00E86304" w:rsidP="00E86304">
      <w:pPr>
        <w:pStyle w:val="BodyNum"/>
      </w:pPr>
      <w:r w:rsidRPr="00FD274F">
        <w:t xml:space="preserve">If technical difficulties prevent </w:t>
      </w:r>
      <w:proofErr w:type="spellStart"/>
      <w:r w:rsidRPr="00FD274F">
        <w:t>OPC</w:t>
      </w:r>
      <w:proofErr w:type="spellEnd"/>
      <w:r w:rsidRPr="00FD274F">
        <w:t xml:space="preserve"> from registering a document on the approved website </w:t>
      </w:r>
      <w:hyperlink r:id="rId248" w:history="1">
        <w:r w:rsidRPr="00FD274F">
          <w:rPr>
            <w:rStyle w:val="Hyperlink"/>
          </w:rPr>
          <w:t>https://www.legislation.gov.au</w:t>
        </w:r>
      </w:hyperlink>
      <w:r w:rsidRPr="00FD274F">
        <w:t xml:space="preserve">, and as permitted by section </w:t>
      </w:r>
      <w:r w:rsidRPr="004532FE">
        <w:t>1</w:t>
      </w:r>
      <w:r>
        <w:t>4</w:t>
      </w:r>
      <w:r w:rsidRPr="004532FE">
        <w:t xml:space="preserve"> of the </w:t>
      </w:r>
      <w:hyperlink r:id="rId249" w:history="1">
        <w:r w:rsidRPr="009D7738">
          <w:rPr>
            <w:rStyle w:val="Hyperlink"/>
          </w:rPr>
          <w:t>LR</w:t>
        </w:r>
      </w:hyperlink>
      <w:r w:rsidRPr="00FD274F">
        <w:t xml:space="preserve">, </w:t>
      </w:r>
      <w:proofErr w:type="spellStart"/>
      <w:r w:rsidRPr="00FD274F">
        <w:t>OPC</w:t>
      </w:r>
      <w:proofErr w:type="spellEnd"/>
      <w:r w:rsidRPr="00FD274F">
        <w:t>:</w:t>
      </w:r>
    </w:p>
    <w:p w14:paraId="16A4909A" w14:textId="77777777" w:rsidR="00E86304" w:rsidRPr="00FD274F" w:rsidRDefault="00E86304" w:rsidP="00E86304">
      <w:pPr>
        <w:pStyle w:val="BodyPara"/>
      </w:pPr>
      <w:r w:rsidRPr="00FD274F">
        <w:t xml:space="preserve">may register the document by publishing it on the </w:t>
      </w:r>
      <w:proofErr w:type="spellStart"/>
      <w:r w:rsidRPr="00FD274F">
        <w:t>OPC</w:t>
      </w:r>
      <w:proofErr w:type="spellEnd"/>
      <w:r w:rsidRPr="00FD274F">
        <w:t xml:space="preserve"> website </w:t>
      </w:r>
      <w:hyperlink r:id="rId250" w:history="1">
        <w:r>
          <w:rPr>
            <w:rStyle w:val="Hyperlink"/>
          </w:rPr>
          <w:t>https://www.opc.gov.au/</w:t>
        </w:r>
      </w:hyperlink>
      <w:r w:rsidRPr="00FD274F">
        <w:t xml:space="preserve"> or (if that website is not publicly available) by publicly displaying the document at 28 Sydney Avenue, Forrest ACT; and</w:t>
      </w:r>
    </w:p>
    <w:p w14:paraId="424C2908" w14:textId="77777777" w:rsidR="00E86304" w:rsidRPr="00FD274F" w:rsidRDefault="00E86304" w:rsidP="00E86304">
      <w:pPr>
        <w:pStyle w:val="BodyPara"/>
      </w:pPr>
      <w:r w:rsidRPr="00FD274F">
        <w:t xml:space="preserve">will make the document available on the approved website once the technical difficulties have </w:t>
      </w:r>
      <w:r>
        <w:t>been resolved</w:t>
      </w:r>
      <w:r w:rsidRPr="00FD274F">
        <w:t>.</w:t>
      </w:r>
    </w:p>
    <w:p w14:paraId="7ECEDD83" w14:textId="77777777" w:rsidR="00E86304" w:rsidRPr="00FD274F" w:rsidRDefault="00E86304" w:rsidP="00E86304">
      <w:pPr>
        <w:pStyle w:val="Head4"/>
      </w:pPr>
      <w:r w:rsidRPr="00FD274F">
        <w:t>Fees for standard and additional services</w:t>
      </w:r>
    </w:p>
    <w:p w14:paraId="6114E0FA" w14:textId="77777777" w:rsidR="00E86304" w:rsidRPr="00FD274F" w:rsidRDefault="00E86304" w:rsidP="00E86304">
      <w:pPr>
        <w:pStyle w:val="BodyNum"/>
      </w:pPr>
      <w:r>
        <w:t>C</w:t>
      </w:r>
      <w:r w:rsidRPr="00FD274F">
        <w:t xml:space="preserve">lients receive a single annual </w:t>
      </w:r>
      <w:r>
        <w:t xml:space="preserve">Federal Register of Legislation Fee </w:t>
      </w:r>
      <w:r w:rsidRPr="00FD274F">
        <w:t>invoice for each financial year</w:t>
      </w:r>
      <w:r>
        <w:t>, which covers all routine registration services</w:t>
      </w:r>
      <w:r w:rsidRPr="00FD274F">
        <w:t xml:space="preserve">. This fee model enables </w:t>
      </w:r>
      <w:proofErr w:type="spellStart"/>
      <w:r w:rsidRPr="00FD274F">
        <w:t>OPC</w:t>
      </w:r>
      <w:proofErr w:type="spellEnd"/>
      <w:r w:rsidRPr="00FD274F">
        <w:t xml:space="preserve"> to provide certainty to clients and, because it is simple to administer, to keep Register</w:t>
      </w:r>
      <w:r>
        <w:t xml:space="preserve"> costs down.</w:t>
      </w:r>
    </w:p>
    <w:p w14:paraId="7907B05B" w14:textId="77777777" w:rsidR="00E86304" w:rsidRPr="005F4137" w:rsidRDefault="00E86304" w:rsidP="00E86304">
      <w:pPr>
        <w:pStyle w:val="BodyNum"/>
      </w:pPr>
      <w:bookmarkStart w:id="91" w:name="_Ref434314290"/>
      <w:proofErr w:type="spellStart"/>
      <w:r w:rsidRPr="005F4137">
        <w:lastRenderedPageBreak/>
        <w:t>OPC</w:t>
      </w:r>
      <w:proofErr w:type="spellEnd"/>
      <w:r w:rsidRPr="005F4137">
        <w:t xml:space="preserve"> only charges additional fees if the client requires a special requirement and additional service, such as registration at a specific time, express, after-hours or peak period service, when lodging instruments or gazettes. If your agency is likely to require such service, please let </w:t>
      </w:r>
      <w:proofErr w:type="spellStart"/>
      <w:r w:rsidRPr="005F4137">
        <w:t>OPC</w:t>
      </w:r>
      <w:proofErr w:type="spellEnd"/>
      <w:r w:rsidRPr="005F4137">
        <w:t xml:space="preserve"> know by calling (02) 6120 1350 during business hours. This is particularly important if you think your agency may require something to be registered:</w:t>
      </w:r>
      <w:bookmarkEnd w:id="91"/>
    </w:p>
    <w:p w14:paraId="37059596" w14:textId="77777777" w:rsidR="00E86304" w:rsidRPr="005F4137" w:rsidRDefault="00E86304" w:rsidP="00E86304">
      <w:pPr>
        <w:pStyle w:val="BodyPara"/>
      </w:pPr>
      <w:r w:rsidRPr="005F4137">
        <w:t>on the day of or day after lodgement; or</w:t>
      </w:r>
    </w:p>
    <w:p w14:paraId="6C485F26" w14:textId="77777777" w:rsidR="00E86304" w:rsidRPr="005F4137" w:rsidRDefault="00E86304" w:rsidP="00E86304">
      <w:pPr>
        <w:pStyle w:val="BodyPara"/>
      </w:pPr>
      <w:r w:rsidRPr="005F4137">
        <w:t>on the same-day between 5.00 pm and 11.59 pm without prior notice; or</w:t>
      </w:r>
    </w:p>
    <w:p w14:paraId="2F7735D5" w14:textId="77777777" w:rsidR="00E86304" w:rsidRPr="005F4137" w:rsidRDefault="00E86304" w:rsidP="00E86304">
      <w:pPr>
        <w:pStyle w:val="BodyPara"/>
      </w:pPr>
      <w:r w:rsidRPr="005F4137">
        <w:t>at a specified time during business hours; or</w:t>
      </w:r>
    </w:p>
    <w:p w14:paraId="0B58FE21" w14:textId="77777777" w:rsidR="00E86304" w:rsidRPr="005F4137" w:rsidRDefault="00E86304" w:rsidP="00E86304">
      <w:pPr>
        <w:pStyle w:val="BodyPara"/>
      </w:pPr>
      <w:r w:rsidRPr="005F4137">
        <w:t>outside of normal business hours, including on a weekend or public holiday; or</w:t>
      </w:r>
    </w:p>
    <w:p w14:paraId="7019F1FB" w14:textId="77777777" w:rsidR="00E86304" w:rsidRPr="005F4137" w:rsidRDefault="00E86304" w:rsidP="00E86304">
      <w:pPr>
        <w:pStyle w:val="BodyPara"/>
      </w:pPr>
      <w:r w:rsidRPr="005F4137">
        <w:t>during the notified peak periods at the end of the calendar and financial year; or</w:t>
      </w:r>
    </w:p>
    <w:p w14:paraId="2E651AA7" w14:textId="77777777" w:rsidR="00E86304" w:rsidRPr="005F4137" w:rsidRDefault="00E86304" w:rsidP="00E86304">
      <w:pPr>
        <w:pStyle w:val="BodyPara"/>
      </w:pPr>
      <w:r>
        <w:t>with the</w:t>
      </w:r>
      <w:r w:rsidRPr="005F4137">
        <w:t xml:space="preserve"> addition of a unique name; or</w:t>
      </w:r>
    </w:p>
    <w:p w14:paraId="77BC44DE" w14:textId="77777777" w:rsidR="00E86304" w:rsidRPr="005F4137" w:rsidRDefault="00E86304" w:rsidP="00E86304">
      <w:pPr>
        <w:pStyle w:val="BodyPara"/>
      </w:pPr>
      <w:r>
        <w:t>with the</w:t>
      </w:r>
      <w:r w:rsidRPr="005F4137">
        <w:t xml:space="preserve"> addition of alt</w:t>
      </w:r>
      <w:r>
        <w:t xml:space="preserve"> </w:t>
      </w:r>
      <w:r w:rsidRPr="005F4137">
        <w:t>text to an image or object before registration</w:t>
      </w:r>
      <w:r>
        <w:t>.</w:t>
      </w:r>
    </w:p>
    <w:p w14:paraId="0CAAEE70" w14:textId="77777777" w:rsidR="00E86304" w:rsidRDefault="00E86304" w:rsidP="00E86304">
      <w:pPr>
        <w:pStyle w:val="BodyNum"/>
      </w:pPr>
      <w:r>
        <w:t xml:space="preserve">It also important for an agency to contact </w:t>
      </w:r>
      <w:proofErr w:type="spellStart"/>
      <w:r>
        <w:t>OPC</w:t>
      </w:r>
      <w:proofErr w:type="spellEnd"/>
      <w:r>
        <w:t xml:space="preserve"> if:</w:t>
      </w:r>
    </w:p>
    <w:p w14:paraId="148A06D9" w14:textId="77777777" w:rsidR="00E86304" w:rsidRDefault="00E86304" w:rsidP="00E86304">
      <w:pPr>
        <w:pStyle w:val="BodyPara"/>
      </w:pPr>
      <w:r>
        <w:t>a registration requires express delivery for tabling; or</w:t>
      </w:r>
    </w:p>
    <w:p w14:paraId="0E35633D" w14:textId="77777777" w:rsidR="00E86304" w:rsidRDefault="00E86304" w:rsidP="00E86304">
      <w:pPr>
        <w:pStyle w:val="BodyPara"/>
      </w:pPr>
      <w:r>
        <w:t>a rectification of an instrument or compilation needs to be issued due to an agency error.</w:t>
      </w:r>
    </w:p>
    <w:p w14:paraId="312CDBAD" w14:textId="77777777" w:rsidR="00E86304" w:rsidRPr="00FD274F" w:rsidRDefault="00E86304" w:rsidP="00E86304">
      <w:pPr>
        <w:pStyle w:val="BodyNum"/>
      </w:pPr>
      <w:r w:rsidRPr="00FD274F">
        <w:t xml:space="preserve">The services </w:t>
      </w:r>
      <w:proofErr w:type="spellStart"/>
      <w:r w:rsidRPr="00FD274F">
        <w:t>OPC</w:t>
      </w:r>
      <w:proofErr w:type="spellEnd"/>
      <w:r w:rsidRPr="00FD274F">
        <w:t xml:space="preserve"> provides in connection with documents do not end with their registration. For example, </w:t>
      </w:r>
      <w:proofErr w:type="spellStart"/>
      <w:r w:rsidRPr="00FD274F">
        <w:t>OPC</w:t>
      </w:r>
      <w:proofErr w:type="spellEnd"/>
      <w:r w:rsidRPr="00FD274F">
        <w:t xml:space="preserve"> routinely tracks and alerts agencies to disallowance, sunsetting and other legislative processes that may affect the lifecycle of an instrument and, even if an instrument is repealed, it remains available on the Register.</w:t>
      </w:r>
    </w:p>
    <w:p w14:paraId="20F43E63" w14:textId="77777777" w:rsidR="00E86304" w:rsidRPr="00FD274F" w:rsidRDefault="00E86304" w:rsidP="00E86304">
      <w:pPr>
        <w:pStyle w:val="BodyNum"/>
      </w:pPr>
      <w:r>
        <w:t>Detailed</w:t>
      </w:r>
      <w:r w:rsidRPr="00FD274F">
        <w:t xml:space="preserve"> information on</w:t>
      </w:r>
      <w:r>
        <w:t xml:space="preserve"> special requirement and additional service</w:t>
      </w:r>
      <w:r w:rsidRPr="00FD274F">
        <w:t xml:space="preserve"> fees can be obtained from the</w:t>
      </w:r>
      <w:r>
        <w:t xml:space="preserve"> home page of the</w:t>
      </w:r>
      <w:r w:rsidRPr="00FD274F">
        <w:t xml:space="preserve"> </w:t>
      </w:r>
      <w:hyperlink r:id="rId251" w:history="1">
        <w:r w:rsidRPr="00FD274F">
          <w:rPr>
            <w:rStyle w:val="Hyperlink"/>
          </w:rPr>
          <w:t>lodgement facility</w:t>
        </w:r>
      </w:hyperlink>
      <w:r w:rsidRPr="00FD274F">
        <w:t xml:space="preserve"> or </w:t>
      </w:r>
      <w:r>
        <w:t xml:space="preserve">by emailing </w:t>
      </w:r>
      <w:proofErr w:type="spellStart"/>
      <w:r>
        <w:t>OPC</w:t>
      </w:r>
      <w:proofErr w:type="spellEnd"/>
      <w:r>
        <w:t xml:space="preserve"> at </w:t>
      </w:r>
      <w:hyperlink r:id="rId252" w:history="1">
        <w:r w:rsidRPr="00C575CE">
          <w:rPr>
            <w:rStyle w:val="Hyperlink"/>
          </w:rPr>
          <w:t>lodge@legislation.gov.au</w:t>
        </w:r>
      </w:hyperlink>
      <w:r>
        <w:t xml:space="preserve"> or calling </w:t>
      </w:r>
      <w:r w:rsidRPr="00FD274F">
        <w:t xml:space="preserve">the </w:t>
      </w:r>
      <w:r>
        <w:t>Lodgement</w:t>
      </w:r>
      <w:r w:rsidRPr="00FD274F">
        <w:t xml:space="preserve"> Help Desk on (02) 6120 1350.</w:t>
      </w:r>
    </w:p>
    <w:p w14:paraId="550A1AD4" w14:textId="77777777" w:rsidR="00E86304" w:rsidRPr="00FD274F" w:rsidRDefault="00E86304" w:rsidP="00E86304">
      <w:pPr>
        <w:pStyle w:val="Head3"/>
      </w:pPr>
      <w:bookmarkStart w:id="92" w:name="_Toc238117549"/>
      <w:r w:rsidRPr="00FD274F">
        <w:t>Requirement for gazettal or notification in addition to registration</w:t>
      </w:r>
      <w:bookmarkEnd w:id="92"/>
    </w:p>
    <w:p w14:paraId="7FB42010" w14:textId="77777777" w:rsidR="00E86304" w:rsidRPr="00FD274F" w:rsidRDefault="00E86304" w:rsidP="00E86304">
      <w:pPr>
        <w:pStyle w:val="BodyNum"/>
      </w:pPr>
      <w:r w:rsidRPr="00FD274F">
        <w:t>A legislative instrument’s enabling legislation may require the instrument to be published or notified in the Gazette. Under subsection 5</w:t>
      </w:r>
      <w:r w:rsidRPr="00D965EA">
        <w:t xml:space="preserve">6(1) of the </w:t>
      </w:r>
      <w:hyperlink r:id="rId253" w:history="1">
        <w:r w:rsidRPr="00D965EA">
          <w:rPr>
            <w:rStyle w:val="Hyperlink"/>
          </w:rPr>
          <w:t>LA</w:t>
        </w:r>
      </w:hyperlink>
      <w:r w:rsidRPr="00D965EA">
        <w:t>,</w:t>
      </w:r>
      <w:r w:rsidRPr="00FD274F">
        <w:t xml:space="preserve"> registering an instrument on the Federal Register of Legislation as a legislative instrument on or after 5 March 2016 meets the legislation’s requirement for gazettal. Generally, any requirements for publication of the instrument other than in the Gazette or generally on a website (such as in a newspaper or elsewhere) are additional to the requirement for registration on the Register (</w:t>
      </w:r>
      <w:hyperlink r:id="rId254" w:history="1">
        <w:r w:rsidRPr="00D965EA">
          <w:rPr>
            <w:rStyle w:val="Hyperlink"/>
          </w:rPr>
          <w:t>LA</w:t>
        </w:r>
      </w:hyperlink>
      <w:r w:rsidRPr="00D965EA">
        <w:t xml:space="preserve"> s 56(2) and (3)).</w:t>
      </w:r>
      <w:r w:rsidRPr="00FD274F">
        <w:t xml:space="preserve"> </w:t>
      </w:r>
      <w:r>
        <w:t>For example, a</w:t>
      </w:r>
      <w:r w:rsidRPr="00FD274F">
        <w:t xml:space="preserve"> requirement for an instrument to be published on a website would be met by registering an instrument as a legislative instrument on the Federal Register of Legislation</w:t>
      </w:r>
      <w:r>
        <w:t>,</w:t>
      </w:r>
      <w:r w:rsidRPr="00FD274F">
        <w:t xml:space="preserve"> as the Register is a website.</w:t>
      </w:r>
    </w:p>
    <w:p w14:paraId="3C3EF8FA" w14:textId="77777777" w:rsidR="00E86304" w:rsidRPr="00FD274F" w:rsidRDefault="00E86304" w:rsidP="00E86304">
      <w:pPr>
        <w:pStyle w:val="BodyNum"/>
      </w:pPr>
      <w:r w:rsidRPr="00FD274F">
        <w:lastRenderedPageBreak/>
        <w:t xml:space="preserve">Similarly, a requirement may exist in the enabling legislation for an instrument other than a legislative instrument to be notified or published in the Gazette. Generally, under </w:t>
      </w:r>
      <w:r w:rsidRPr="00D965EA">
        <w:t xml:space="preserve">subsection 11(4) of the </w:t>
      </w:r>
      <w:hyperlink r:id="rId255" w:history="1">
        <w:r w:rsidRPr="00D965EA">
          <w:rPr>
            <w:rStyle w:val="Hyperlink"/>
          </w:rPr>
          <w:t>LA</w:t>
        </w:r>
      </w:hyperlink>
      <w:r w:rsidRPr="00D965EA">
        <w:t>,</w:t>
      </w:r>
      <w:r w:rsidRPr="00FD274F">
        <w:t xml:space="preserve"> registering an instrument on the Federal Register of Legislation as a notifiable instrument on or after 5 March 2016 meets the legislation’s requirement for gazettal (whether or not the enabling legislation refers to the instrument as a notifiable instrument). In addition, any other requirements for publication of the instrument are also met by the requirement for registration on the Register (</w:t>
      </w:r>
      <w:hyperlink r:id="rId256" w:history="1">
        <w:r w:rsidRPr="00D965EA">
          <w:rPr>
            <w:rStyle w:val="Hyperlink"/>
          </w:rPr>
          <w:t>LA</w:t>
        </w:r>
      </w:hyperlink>
      <w:r w:rsidRPr="00D965EA">
        <w:t xml:space="preserve"> s 11(4)) unl</w:t>
      </w:r>
      <w:r w:rsidRPr="00FD274F">
        <w:t>ess the legislation provides a contrary intention.</w:t>
      </w:r>
    </w:p>
    <w:p w14:paraId="56E26FB4" w14:textId="77777777" w:rsidR="00E86304" w:rsidRDefault="00E86304" w:rsidP="00E86304">
      <w:pPr>
        <w:pStyle w:val="BodyNum"/>
      </w:pPr>
      <w:r w:rsidRPr="00FD274F">
        <w:t xml:space="preserve">Agencies should update their legislation to align with </w:t>
      </w:r>
      <w:r w:rsidRPr="00D965EA">
        <w:t xml:space="preserve">the </w:t>
      </w:r>
      <w:hyperlink r:id="rId257" w:history="1">
        <w:r w:rsidRPr="00D965EA">
          <w:rPr>
            <w:rStyle w:val="Hyperlink"/>
          </w:rPr>
          <w:t>LA</w:t>
        </w:r>
      </w:hyperlink>
      <w:r w:rsidRPr="00D965EA">
        <w:rPr>
          <w:rStyle w:val="FootnoteReference"/>
        </w:rPr>
        <w:footnoteReference w:id="18"/>
      </w:r>
      <w:r w:rsidRPr="00D965EA">
        <w:t>, and s</w:t>
      </w:r>
      <w:r w:rsidRPr="00FD274F">
        <w:t>hould avoid putting in place additional requirements for publication as well as registration, unless there are compelling reasons for these. Adopting t</w:t>
      </w:r>
      <w:r w:rsidRPr="00D965EA">
        <w:t xml:space="preserve">he </w:t>
      </w:r>
      <w:hyperlink r:id="rId258" w:history="1">
        <w:r w:rsidRPr="00D965EA">
          <w:rPr>
            <w:rStyle w:val="Hyperlink"/>
          </w:rPr>
          <w:t>LA</w:t>
        </w:r>
      </w:hyperlink>
      <w:r w:rsidRPr="00D965EA">
        <w:t xml:space="preserve"> sta</w:t>
      </w:r>
      <w:r w:rsidRPr="00FD274F">
        <w:t>ndard does not prevent an instrument being notified or published elsewhere if desired.</w:t>
      </w:r>
    </w:p>
    <w:p w14:paraId="47E420E9" w14:textId="77777777" w:rsidR="00E86304" w:rsidRPr="00FD274F" w:rsidRDefault="00E86304" w:rsidP="00E86304">
      <w:pPr>
        <w:pStyle w:val="Head4"/>
      </w:pPr>
      <w:r>
        <w:t>Benefits of registering notifiable instruments instead of gazettes</w:t>
      </w:r>
    </w:p>
    <w:p w14:paraId="15CF604A" w14:textId="77777777" w:rsidR="00E86304" w:rsidRDefault="00E86304" w:rsidP="00E86304">
      <w:pPr>
        <w:pStyle w:val="BodyNum"/>
      </w:pPr>
      <w:r>
        <w:t>When preparing a gazette, it is worth considering choosing to register that content as a notifiable instrument instead.</w:t>
      </w:r>
    </w:p>
    <w:p w14:paraId="4FADC1F6" w14:textId="77777777" w:rsidR="00E86304" w:rsidRDefault="00E86304" w:rsidP="00E86304">
      <w:pPr>
        <w:pStyle w:val="BodyNum"/>
      </w:pPr>
      <w:r>
        <w:t>Generally, a legislative requirement for gazettal is met by registering that content as a notifiable instrument on the Federal Register of Legislation (</w:t>
      </w:r>
      <w:hyperlink r:id="rId259" w:history="1">
        <w:r w:rsidRPr="00D965EA">
          <w:rPr>
            <w:rStyle w:val="Hyperlink"/>
          </w:rPr>
          <w:t>LA</w:t>
        </w:r>
      </w:hyperlink>
      <w:r>
        <w:rPr>
          <w:rStyle w:val="Hyperlink"/>
        </w:rPr>
        <w:t xml:space="preserve"> s 11(4)</w:t>
      </w:r>
      <w:r w:rsidRPr="000F4ECA">
        <w:rPr>
          <w:rStyle w:val="Hyperlink"/>
          <w:color w:val="auto"/>
        </w:rPr>
        <w:t>).</w:t>
      </w:r>
    </w:p>
    <w:p w14:paraId="57F6D45B" w14:textId="77777777" w:rsidR="00E86304" w:rsidRDefault="00E86304" w:rsidP="00E86304">
      <w:pPr>
        <w:pStyle w:val="BodyNum"/>
      </w:pPr>
      <w:r>
        <w:t>A notifiable instrument offers the following benefits:</w:t>
      </w:r>
    </w:p>
    <w:p w14:paraId="333D86AB" w14:textId="77777777" w:rsidR="00E86304" w:rsidRDefault="00E86304" w:rsidP="00E86304">
      <w:pPr>
        <w:pStyle w:val="BodyPara"/>
      </w:pPr>
      <w:r>
        <w:t>it can be amended by another notifiable instrument;</w:t>
      </w:r>
    </w:p>
    <w:p w14:paraId="5A641F44" w14:textId="77777777" w:rsidR="00E86304" w:rsidRDefault="00E86304" w:rsidP="00E86304">
      <w:pPr>
        <w:pStyle w:val="BodyPara"/>
      </w:pPr>
      <w:r>
        <w:t>it has a status (in force, no longer in force);</w:t>
      </w:r>
    </w:p>
    <w:p w14:paraId="4E10690A" w14:textId="77777777" w:rsidR="00E86304" w:rsidRDefault="00E86304" w:rsidP="00E86304">
      <w:pPr>
        <w:pStyle w:val="BodyPara"/>
      </w:pPr>
      <w:r>
        <w:t>it can be repealed, either by self-repeal or by another notifiable instrument;</w:t>
      </w:r>
    </w:p>
    <w:p w14:paraId="669A8FB4" w14:textId="77777777" w:rsidR="00E86304" w:rsidRDefault="00E86304" w:rsidP="00E86304">
      <w:pPr>
        <w:pStyle w:val="BodyPara"/>
      </w:pPr>
      <w:r>
        <w:t>it does not need to be on the Commonwealth gazette template.</w:t>
      </w:r>
    </w:p>
    <w:p w14:paraId="5287DBE2" w14:textId="77777777" w:rsidR="00E86304" w:rsidRDefault="00E86304" w:rsidP="00E86304">
      <w:pPr>
        <w:pStyle w:val="BodyNum"/>
      </w:pPr>
      <w:r>
        <w:t>All of these benefits provide greater control over the content to be published and its currency.</w:t>
      </w:r>
    </w:p>
    <w:p w14:paraId="410B51BB" w14:textId="77777777" w:rsidR="00E86304" w:rsidRDefault="00E86304" w:rsidP="00E86304">
      <w:pPr>
        <w:pStyle w:val="BodyNum"/>
      </w:pPr>
      <w:r>
        <w:t xml:space="preserve">More and more notices previously required to be gazetted are shifting towards legislative requirements to be published as notifiable instruments (for example, notices of disqualification under section 126A of the </w:t>
      </w:r>
      <w:hyperlink r:id="rId260" w:history="1">
        <w:r w:rsidRPr="007512AF">
          <w:rPr>
            <w:rStyle w:val="Hyperlink"/>
            <w:i/>
          </w:rPr>
          <w:t>Superannuation Industry (Supervision) Act 1993</w:t>
        </w:r>
      </w:hyperlink>
      <w:r>
        <w:rPr>
          <w:rStyle w:val="Hyperlink"/>
        </w:rPr>
        <w:t>)</w:t>
      </w:r>
      <w:r>
        <w:t>.</w:t>
      </w:r>
    </w:p>
    <w:p w14:paraId="6A4B4A99" w14:textId="77777777" w:rsidR="00E86304" w:rsidRPr="00FD274F" w:rsidRDefault="00E86304" w:rsidP="00E86304">
      <w:pPr>
        <w:pStyle w:val="Head4"/>
      </w:pPr>
      <w:r w:rsidRPr="00FD274F">
        <w:t>If an instrument is to be notified/published in addition to registration</w:t>
      </w:r>
    </w:p>
    <w:p w14:paraId="6579BD5A" w14:textId="77777777" w:rsidR="00E86304" w:rsidRPr="00FD274F" w:rsidRDefault="00E86304" w:rsidP="00E86304">
      <w:pPr>
        <w:pStyle w:val="BodyNum"/>
      </w:pPr>
      <w:r w:rsidRPr="00FD274F">
        <w:t>If an instrument that has been or will be registered is to be notified or published elsewhere, care needs to be taken to ensure that:</w:t>
      </w:r>
    </w:p>
    <w:p w14:paraId="0A620382" w14:textId="77777777" w:rsidR="00E86304" w:rsidRPr="00FD274F" w:rsidRDefault="00E86304" w:rsidP="00E86304">
      <w:pPr>
        <w:pStyle w:val="BodyPara"/>
      </w:pPr>
      <w:r w:rsidRPr="00FD274F">
        <w:t>what is published elsewhere is identical to what is lodged for registration (see a</w:t>
      </w:r>
      <w:r w:rsidRPr="00EA4AE6">
        <w:t xml:space="preserve">lso paragraphs </w:t>
      </w:r>
      <w:r w:rsidRPr="005547CD">
        <w:fldChar w:fldCharType="begin"/>
      </w:r>
      <w:r w:rsidRPr="00EA4AE6">
        <w:instrText xml:space="preserve"> REF _Ref444779699 \r \h  \* MERGEFORMAT </w:instrText>
      </w:r>
      <w:r w:rsidRPr="005547CD">
        <w:fldChar w:fldCharType="separate"/>
      </w:r>
      <w:r>
        <w:t>200</w:t>
      </w:r>
      <w:r w:rsidRPr="005547CD">
        <w:fldChar w:fldCharType="end"/>
      </w:r>
      <w:r w:rsidRPr="00EA4AE6">
        <w:t xml:space="preserve"> </w:t>
      </w:r>
      <w:r>
        <w:t xml:space="preserve">to </w:t>
      </w:r>
      <w:r>
        <w:fldChar w:fldCharType="begin"/>
      </w:r>
      <w:r>
        <w:instrText xml:space="preserve"> REF _Ref184283908 \r \h </w:instrText>
      </w:r>
      <w:r>
        <w:fldChar w:fldCharType="separate"/>
      </w:r>
      <w:r>
        <w:t>202</w:t>
      </w:r>
      <w:r>
        <w:fldChar w:fldCharType="end"/>
      </w:r>
      <w:r w:rsidRPr="00EA4AE6">
        <w:t>); a</w:t>
      </w:r>
      <w:r>
        <w:t>nd</w:t>
      </w:r>
    </w:p>
    <w:p w14:paraId="6D2D5596" w14:textId="77777777" w:rsidR="00E86304" w:rsidRPr="00FD274F" w:rsidRDefault="00E86304" w:rsidP="00E86304">
      <w:pPr>
        <w:pStyle w:val="BodyPara"/>
      </w:pPr>
      <w:r w:rsidRPr="00FD274F">
        <w:lastRenderedPageBreak/>
        <w:t>unless an instrument is made by the act of gazettal—the instrument is registered before it is published elsewhere, consistent with Parliamentary expectations about the prompt lodgement and registration of instruments.</w:t>
      </w:r>
    </w:p>
    <w:p w14:paraId="7F3940A4" w14:textId="77777777" w:rsidR="00E86304" w:rsidRPr="00FD274F" w:rsidRDefault="00E86304" w:rsidP="00E86304">
      <w:pPr>
        <w:pStyle w:val="BodyNum"/>
      </w:pPr>
      <w:r w:rsidRPr="00FD274F">
        <w:t xml:space="preserve">If an instrument is to be notified or published in the Gazette, it may be appropriate to do so in one of the specialist gazettes published by individual Australian Government agencies. Otherwise, details should be lodged with </w:t>
      </w:r>
      <w:proofErr w:type="spellStart"/>
      <w:r w:rsidRPr="00FD274F">
        <w:t>OPC</w:t>
      </w:r>
      <w:proofErr w:type="spellEnd"/>
      <w:r w:rsidRPr="00FD274F">
        <w:t xml:space="preserve"> for gazettal in the general Government Notices Gazette. As part of lodging a notice with </w:t>
      </w:r>
      <w:proofErr w:type="spellStart"/>
      <w:r w:rsidRPr="00FD274F">
        <w:t>OPC</w:t>
      </w:r>
      <w:proofErr w:type="spellEnd"/>
      <w:r w:rsidRPr="00FD274F">
        <w:t>, agencies will need to:</w:t>
      </w:r>
    </w:p>
    <w:p w14:paraId="5271DC2C" w14:textId="77777777" w:rsidR="00E86304" w:rsidRPr="00FD274F" w:rsidRDefault="00E86304" w:rsidP="00E86304">
      <w:pPr>
        <w:pStyle w:val="BodyPara"/>
      </w:pPr>
      <w:r w:rsidRPr="00FD274F">
        <w:t>submit two different lodgements (an instrument and a gazette notice)</w:t>
      </w:r>
      <w:r>
        <w:t>; and</w:t>
      </w:r>
    </w:p>
    <w:p w14:paraId="751862EA" w14:textId="77777777" w:rsidR="00E86304" w:rsidRPr="00FD274F" w:rsidRDefault="00E86304" w:rsidP="00E86304">
      <w:pPr>
        <w:pStyle w:val="BodyPara"/>
      </w:pPr>
      <w:r w:rsidRPr="00FD274F">
        <w:t>ensure that the requirement for gazettal in addition to registration is explicitly flagg</w:t>
      </w:r>
      <w:r>
        <w:t>ed on both lodgement forms; and</w:t>
      </w:r>
    </w:p>
    <w:p w14:paraId="4397B088" w14:textId="77777777" w:rsidR="00E86304" w:rsidRDefault="00E86304" w:rsidP="00E86304">
      <w:pPr>
        <w:pStyle w:val="BodyPara"/>
        <w:rPr>
          <w:lang w:eastAsia="en-US"/>
        </w:rPr>
        <w:sectPr w:rsidR="00E86304" w:rsidSect="00E86304">
          <w:headerReference w:type="default" r:id="rId261"/>
          <w:footerReference w:type="default" r:id="rId262"/>
          <w:pgSz w:w="11907" w:h="16839" w:code="9"/>
          <w:pgMar w:top="1440" w:right="1440" w:bottom="1418" w:left="1440" w:header="720" w:footer="720" w:gutter="0"/>
          <w:cols w:sep="1" w:space="567"/>
          <w:docGrid w:linePitch="360"/>
        </w:sectPr>
      </w:pPr>
      <w:r w:rsidRPr="00FD274F">
        <w:t>if applicable, flag any special requirement for gazettal and registration to take place on the same day (and again, this should be noted on both forms).</w:t>
      </w:r>
      <w:bookmarkStart w:id="93" w:name="Chapter5"/>
      <w:bookmarkStart w:id="94" w:name="_Hlk175123706"/>
    </w:p>
    <w:p w14:paraId="2D5C1F42" w14:textId="77777777" w:rsidR="00E86304" w:rsidRPr="00FD274F" w:rsidRDefault="00E86304" w:rsidP="00E86304">
      <w:pPr>
        <w:pStyle w:val="Head2"/>
        <w:keepNext w:val="0"/>
        <w:pageBreakBefore/>
      </w:pPr>
      <w:bookmarkStart w:id="95" w:name="_Toc238117550"/>
      <w:bookmarkStart w:id="96" w:name="_Hlk175124791"/>
      <w:bookmarkEnd w:id="86"/>
      <w:bookmarkEnd w:id="93"/>
      <w:bookmarkEnd w:id="94"/>
      <w:r w:rsidRPr="00FD274F">
        <w:lastRenderedPageBreak/>
        <w:t xml:space="preserve">Chapter </w:t>
      </w:r>
      <w:r>
        <w:t>5</w:t>
      </w:r>
      <w:r w:rsidRPr="00FD274F">
        <w:t>—Keeping the Register up</w:t>
      </w:r>
      <w:r>
        <w:t xml:space="preserve"> </w:t>
      </w:r>
      <w:r w:rsidRPr="00FD274F">
        <w:t>to</w:t>
      </w:r>
      <w:r>
        <w:t xml:space="preserve"> </w:t>
      </w:r>
      <w:r w:rsidRPr="00FD274F">
        <w:t>date</w:t>
      </w:r>
      <w:bookmarkEnd w:id="95"/>
    </w:p>
    <w:p w14:paraId="4227F640" w14:textId="77777777" w:rsidR="00E86304" w:rsidRPr="00FD274F" w:rsidRDefault="00E86304" w:rsidP="00E86304">
      <w:pPr>
        <w:pStyle w:val="SundryBoxHeadBold"/>
      </w:pPr>
      <w:r>
        <w:t>Main points</w:t>
      </w:r>
    </w:p>
    <w:p w14:paraId="121ED5D6" w14:textId="77777777" w:rsidR="00E86304" w:rsidRPr="00FD274F" w:rsidRDefault="00E86304" w:rsidP="00E86304">
      <w:pPr>
        <w:pStyle w:val="SundryBoxBullet"/>
      </w:pPr>
      <w:r w:rsidRPr="00FD274F">
        <w:t>•</w:t>
      </w:r>
      <w:r w:rsidRPr="00FD274F">
        <w:tab/>
        <w:t>An agency’s responsibility for an instrument does not end when the instrument is lodged for registration.</w:t>
      </w:r>
    </w:p>
    <w:p w14:paraId="43FE2B63" w14:textId="77777777" w:rsidR="00E86304" w:rsidRDefault="00E86304" w:rsidP="00E86304">
      <w:pPr>
        <w:pStyle w:val="SundryBoxBullet"/>
      </w:pPr>
      <w:r w:rsidRPr="00FD274F">
        <w:t>•</w:t>
      </w:r>
      <w:r w:rsidRPr="00FD274F">
        <w:tab/>
        <w:t>Agencies need to take action if a lodgement is found to contain errors or if an event affects the accuracy an</w:t>
      </w:r>
      <w:r>
        <w:t>d completeness of the Register.</w:t>
      </w:r>
    </w:p>
    <w:p w14:paraId="08D35B19" w14:textId="77777777" w:rsidR="00E86304" w:rsidRPr="00FD274F" w:rsidRDefault="00E86304" w:rsidP="00E86304">
      <w:pPr>
        <w:pStyle w:val="SundryBoxBullet"/>
      </w:pPr>
      <w:r w:rsidRPr="00FD274F">
        <w:t>•</w:t>
      </w:r>
      <w:r w:rsidRPr="00FD274F">
        <w:tab/>
        <w:t xml:space="preserve">Agencies </w:t>
      </w:r>
      <w:r>
        <w:t xml:space="preserve">can contact the </w:t>
      </w:r>
      <w:r w:rsidRPr="00505B0D">
        <w:t>First Parliamentary Counsel</w:t>
      </w:r>
      <w:r>
        <w:t xml:space="preserve"> about errors by emailing </w:t>
      </w:r>
      <w:hyperlink r:id="rId263" w:history="1">
        <w:r w:rsidRPr="00E927CB">
          <w:rPr>
            <w:rStyle w:val="Hyperlink"/>
          </w:rPr>
          <w:t>lodge@legislation.gov.au</w:t>
        </w:r>
      </w:hyperlink>
      <w:r>
        <w:t xml:space="preserve"> </w:t>
      </w:r>
      <w:r w:rsidRPr="004C44D3">
        <w:t>or calling the Lodgement Help Desk on (02) 6120 1350</w:t>
      </w:r>
      <w:r>
        <w:t>.</w:t>
      </w:r>
    </w:p>
    <w:p w14:paraId="2F5A714D" w14:textId="77777777" w:rsidR="00E86304" w:rsidRPr="00FD274F" w:rsidRDefault="00E86304" w:rsidP="00E86304">
      <w:pPr>
        <w:pStyle w:val="Head3"/>
      </w:pPr>
      <w:bookmarkStart w:id="97" w:name="_Toc238117551"/>
      <w:r>
        <w:t>General</w:t>
      </w:r>
      <w:bookmarkEnd w:id="97"/>
    </w:p>
    <w:p w14:paraId="3BB958AF" w14:textId="77777777" w:rsidR="00E86304" w:rsidRPr="00FD274F" w:rsidRDefault="00E86304" w:rsidP="00E86304">
      <w:pPr>
        <w:pStyle w:val="BodyNum"/>
      </w:pPr>
      <w:r w:rsidRPr="00FD274F">
        <w:t>The Register is an important resource for courts and other users</w:t>
      </w:r>
      <w:r>
        <w:t>.</w:t>
      </w:r>
      <w:r w:rsidRPr="00FD274F">
        <w:t xml:space="preserve"> </w:t>
      </w:r>
      <w:r>
        <w:t>Section</w:t>
      </w:r>
      <w:r w:rsidRPr="00927913">
        <w:t xml:space="preserve"> 15B of the </w:t>
      </w:r>
      <w:hyperlink r:id="rId264" w:history="1">
        <w:r w:rsidRPr="00927913">
          <w:rPr>
            <w:rStyle w:val="Hyperlink"/>
          </w:rPr>
          <w:t>LA</w:t>
        </w:r>
      </w:hyperlink>
      <w:r w:rsidRPr="00FD274F">
        <w:t xml:space="preserve"> provides that it is “for all purposes, taken to be a complete and accurate record of all registered Acts, legislative instruments and notifiable instruments”.</w:t>
      </w:r>
    </w:p>
    <w:p w14:paraId="508C16E0" w14:textId="77777777" w:rsidR="00E86304" w:rsidRPr="00FD274F" w:rsidRDefault="00E86304" w:rsidP="00E86304">
      <w:pPr>
        <w:pStyle w:val="BodyNum"/>
      </w:pPr>
      <w:r w:rsidRPr="00FD274F">
        <w:t>Users of the Register are also subject to special legal protections. S</w:t>
      </w:r>
      <w:r w:rsidRPr="00927913">
        <w:t xml:space="preserve">ubsection 15D(3) of the </w:t>
      </w:r>
      <w:hyperlink r:id="rId265" w:history="1">
        <w:hyperlink r:id="rId266" w:history="1">
          <w:r w:rsidRPr="00927913">
            <w:rPr>
              <w:rStyle w:val="Hyperlink"/>
            </w:rPr>
            <w:t>LA</w:t>
          </w:r>
        </w:hyperlink>
        <w:r w:rsidRPr="00927913">
          <w:t xml:space="preserve"> </w:t>
        </w:r>
      </w:hyperlink>
      <w:r w:rsidRPr="00927913">
        <w:t>provi</w:t>
      </w:r>
      <w:r w:rsidRPr="00FD274F">
        <w:t xml:space="preserve">des that, if the Register is erroneous because of a mistake or omission and the Register is </w:t>
      </w:r>
      <w:r>
        <w:t>rectified</w:t>
      </w:r>
      <w:r w:rsidRPr="00FD274F">
        <w:t xml:space="preserve"> to correct the error, the </w:t>
      </w:r>
      <w:r>
        <w:t>rectification</w:t>
      </w:r>
      <w:r w:rsidRPr="00FD274F">
        <w:t xml:space="preserve"> does not:</w:t>
      </w:r>
    </w:p>
    <w:p w14:paraId="29567F65" w14:textId="77777777" w:rsidR="00E86304" w:rsidRPr="00FD274F" w:rsidRDefault="00E86304" w:rsidP="00E86304">
      <w:pPr>
        <w:pStyle w:val="BodyPara"/>
      </w:pPr>
      <w:r>
        <w:t>affect any right or privilege that was acquired, or that accrued, because of reliance on the content of the Register before the rectification was made; or</w:t>
      </w:r>
    </w:p>
    <w:p w14:paraId="76620E5E" w14:textId="77777777" w:rsidR="00E86304" w:rsidRPr="00FD274F" w:rsidRDefault="00E86304" w:rsidP="00E86304">
      <w:pPr>
        <w:pStyle w:val="BodyPara"/>
      </w:pPr>
      <w:r w:rsidRPr="00FD274F">
        <w:t xml:space="preserve">impose or increase any obligation or liability incurred before the </w:t>
      </w:r>
      <w:r>
        <w:t>rectification</w:t>
      </w:r>
      <w:r w:rsidRPr="00FD274F">
        <w:t xml:space="preserve"> was made.</w:t>
      </w:r>
    </w:p>
    <w:p w14:paraId="2ACE33B2" w14:textId="77777777" w:rsidR="00E86304" w:rsidRDefault="00E86304" w:rsidP="00E86304">
      <w:pPr>
        <w:pStyle w:val="BodyNum"/>
      </w:pPr>
      <w:r w:rsidRPr="00FD274F">
        <w:t xml:space="preserve">In other words, there is a clear expectation that agencies and </w:t>
      </w:r>
      <w:proofErr w:type="spellStart"/>
      <w:r w:rsidRPr="00FD274F">
        <w:t>OPC</w:t>
      </w:r>
      <w:proofErr w:type="spellEnd"/>
      <w:r w:rsidRPr="00FD274F">
        <w:t xml:space="preserve"> will work together to keep the Register up</w:t>
      </w:r>
      <w:r>
        <w:t xml:space="preserve"> </w:t>
      </w:r>
      <w:r w:rsidRPr="00FD274F">
        <w:t>to</w:t>
      </w:r>
      <w:r>
        <w:t xml:space="preserve"> </w:t>
      </w:r>
      <w:r w:rsidRPr="00FD274F">
        <w:t>date.</w:t>
      </w:r>
    </w:p>
    <w:p w14:paraId="43A1FDC5" w14:textId="77777777" w:rsidR="00E86304" w:rsidRPr="00FD274F" w:rsidRDefault="00E86304" w:rsidP="00E86304">
      <w:pPr>
        <w:pStyle w:val="BodyNum"/>
      </w:pPr>
      <w:r>
        <w:t xml:space="preserve">Agencies should contact </w:t>
      </w:r>
      <w:proofErr w:type="spellStart"/>
      <w:r>
        <w:t>OPC</w:t>
      </w:r>
      <w:proofErr w:type="spellEnd"/>
      <w:r>
        <w:t xml:space="preserve"> promptly about errors found in lodgements or on the Register. Please notify us by emailing the details to </w:t>
      </w:r>
      <w:hyperlink r:id="rId267" w:history="1">
        <w:r w:rsidRPr="00E927CB">
          <w:rPr>
            <w:rStyle w:val="Hyperlink"/>
          </w:rPr>
          <w:t>lodge@legislation.gov.au</w:t>
        </w:r>
      </w:hyperlink>
      <w:r>
        <w:t xml:space="preserve"> or calling the Lodgement Help Desk on (02) 6120 1350 to discuss the issue.</w:t>
      </w:r>
    </w:p>
    <w:p w14:paraId="38913AB2" w14:textId="77777777" w:rsidR="00E86304" w:rsidRPr="00FD274F" w:rsidRDefault="00E86304" w:rsidP="00E86304">
      <w:pPr>
        <w:pStyle w:val="Head3"/>
      </w:pPr>
      <w:bookmarkStart w:id="98" w:name="_Toc238117552"/>
      <w:r w:rsidRPr="00FD274F">
        <w:t>Agencies must act on lodgements found to contain errors</w:t>
      </w:r>
      <w:bookmarkEnd w:id="98"/>
    </w:p>
    <w:p w14:paraId="3685871F" w14:textId="77777777" w:rsidR="00E86304" w:rsidRPr="00FD274F" w:rsidRDefault="00E86304" w:rsidP="00E86304">
      <w:pPr>
        <w:pStyle w:val="BodyNum"/>
      </w:pPr>
      <w:r w:rsidRPr="00FD274F">
        <w:t xml:space="preserve">Although </w:t>
      </w:r>
      <w:proofErr w:type="spellStart"/>
      <w:r w:rsidRPr="00FD274F">
        <w:t>OPC</w:t>
      </w:r>
      <w:proofErr w:type="spellEnd"/>
      <w:r w:rsidRPr="00FD274F">
        <w:t xml:space="preserve"> performs basic checks on every document that is registered, agencies are responsible for ensuring that the documents they lodge for registration are complete and accurate. Consequently, if it emerges that a lodgement is incomplete or inaccurate, the person who lodged it must withdraw it as soon as practicable (see </w:t>
      </w:r>
      <w:hyperlink r:id="rId268" w:history="1">
        <w:r w:rsidRPr="00001937">
          <w:rPr>
            <w:rStyle w:val="Hyperlink"/>
          </w:rPr>
          <w:t>LR</w:t>
        </w:r>
      </w:hyperlink>
      <w:r w:rsidRPr="0049119D">
        <w:t xml:space="preserve"> s </w:t>
      </w:r>
      <w:r>
        <w:t>7</w:t>
      </w:r>
      <w:r w:rsidRPr="0049119D">
        <w:t>(3)). T</w:t>
      </w:r>
      <w:r w:rsidRPr="00FD274F">
        <w:t>his can be done:</w:t>
      </w:r>
    </w:p>
    <w:p w14:paraId="3B9D7C8A" w14:textId="77777777" w:rsidR="00E86304" w:rsidRPr="00FD274F" w:rsidRDefault="00E86304" w:rsidP="00E86304">
      <w:pPr>
        <w:pStyle w:val="BodyPara"/>
        <w:rPr>
          <w:szCs w:val="24"/>
        </w:rPr>
      </w:pPr>
      <w:r w:rsidRPr="00FD274F">
        <w:t>by using the online</w:t>
      </w:r>
      <w:r w:rsidRPr="00FD274F">
        <w:rPr>
          <w:szCs w:val="24"/>
        </w:rPr>
        <w:t xml:space="preserve"> lodgement facility at </w:t>
      </w:r>
      <w:hyperlink r:id="rId269" w:history="1">
        <w:r w:rsidRPr="0049119D">
          <w:rPr>
            <w:rStyle w:val="Hyperlink"/>
            <w:szCs w:val="24"/>
          </w:rPr>
          <w:t>https://lodge.legislation.gov.au</w:t>
        </w:r>
      </w:hyperlink>
      <w:r w:rsidRPr="0049119D">
        <w:rPr>
          <w:szCs w:val="24"/>
        </w:rPr>
        <w:t>;</w:t>
      </w:r>
      <w:r>
        <w:rPr>
          <w:szCs w:val="24"/>
        </w:rPr>
        <w:t xml:space="preserve"> or</w:t>
      </w:r>
    </w:p>
    <w:p w14:paraId="23BF9087" w14:textId="77777777" w:rsidR="00E86304" w:rsidRPr="00FD274F" w:rsidRDefault="00E86304" w:rsidP="00E86304">
      <w:pPr>
        <w:pStyle w:val="BodyPara"/>
        <w:rPr>
          <w:szCs w:val="24"/>
        </w:rPr>
      </w:pPr>
      <w:r w:rsidRPr="00FD274F">
        <w:rPr>
          <w:szCs w:val="24"/>
        </w:rPr>
        <w:t xml:space="preserve">by emailing </w:t>
      </w:r>
      <w:hyperlink r:id="rId270" w:history="1">
        <w:hyperlink r:id="rId271" w:history="1">
          <w:r w:rsidRPr="00FD274F">
            <w:rPr>
              <w:rStyle w:val="Hyperlink"/>
              <w:rFonts w:eastAsiaTheme="minorHAnsi"/>
              <w:szCs w:val="24"/>
              <w:lang w:eastAsia="en-US"/>
            </w:rPr>
            <w:t>lodge@legislation.gov.au</w:t>
          </w:r>
        </w:hyperlink>
      </w:hyperlink>
      <w:r w:rsidRPr="00FD274F">
        <w:rPr>
          <w:szCs w:val="24"/>
        </w:rPr>
        <w:t>.</w:t>
      </w:r>
    </w:p>
    <w:p w14:paraId="07184F15" w14:textId="77777777" w:rsidR="00E86304" w:rsidRPr="00FD274F" w:rsidRDefault="00E86304" w:rsidP="00E86304">
      <w:pPr>
        <w:pStyle w:val="BodyNum"/>
        <w:rPr>
          <w:szCs w:val="24"/>
        </w:rPr>
      </w:pPr>
      <w:r w:rsidRPr="00FD274F">
        <w:lastRenderedPageBreak/>
        <w:t xml:space="preserve">It may be that it is not possible to withdraw a lodgement e.g. because it has already been registered. If so, this must be notified to </w:t>
      </w:r>
      <w:proofErr w:type="spellStart"/>
      <w:r w:rsidRPr="00FD274F">
        <w:t>OPC</w:t>
      </w:r>
      <w:proofErr w:type="spellEnd"/>
      <w:r w:rsidRPr="00FD274F">
        <w:t xml:space="preserve"> without delay in accordance with paragrap</w:t>
      </w:r>
      <w:r w:rsidRPr="00927913">
        <w:t xml:space="preserve">h 15L(1)(e) of the </w:t>
      </w:r>
      <w:hyperlink r:id="rId272" w:history="1">
        <w:r w:rsidRPr="00927913">
          <w:rPr>
            <w:rStyle w:val="Hyperlink"/>
          </w:rPr>
          <w:t>LA</w:t>
        </w:r>
      </w:hyperlink>
      <w:r w:rsidRPr="00927913">
        <w:t>. Th</w:t>
      </w:r>
      <w:r w:rsidRPr="00FD274F">
        <w:t>is does not require a log</w:t>
      </w:r>
      <w:r>
        <w:noBreakHyphen/>
      </w:r>
      <w:r w:rsidRPr="00FD274F">
        <w:t>on</w:t>
      </w:r>
      <w:r w:rsidRPr="00FD274F">
        <w:rPr>
          <w:szCs w:val="24"/>
        </w:rPr>
        <w:t xml:space="preserve"> and can be done by any member of the public by using the </w:t>
      </w:r>
      <w:hyperlink r:id="rId273" w:history="1">
        <w:r w:rsidRPr="0049119D">
          <w:rPr>
            <w:rStyle w:val="Hyperlink"/>
            <w:szCs w:val="24"/>
          </w:rPr>
          <w:t>Feedback form</w:t>
        </w:r>
      </w:hyperlink>
      <w:r w:rsidRPr="0049119D">
        <w:rPr>
          <w:szCs w:val="24"/>
        </w:rPr>
        <w:t xml:space="preserve"> o</w:t>
      </w:r>
      <w:r w:rsidRPr="00FD274F">
        <w:rPr>
          <w:szCs w:val="24"/>
        </w:rPr>
        <w:t xml:space="preserve">n the Register website or emailing </w:t>
      </w:r>
      <w:hyperlink r:id="rId274" w:history="1">
        <w:r w:rsidRPr="00FD274F">
          <w:rPr>
            <w:rStyle w:val="Hyperlink"/>
            <w:rFonts w:eastAsiaTheme="minorHAnsi"/>
            <w:szCs w:val="24"/>
            <w:lang w:eastAsia="en-US"/>
          </w:rPr>
          <w:t>lodge@legislation.gov.au</w:t>
        </w:r>
      </w:hyperlink>
      <w:r w:rsidRPr="00FD274F">
        <w:rPr>
          <w:rFonts w:eastAsiaTheme="minorHAnsi"/>
          <w:color w:val="1F497D"/>
          <w:szCs w:val="24"/>
          <w:lang w:eastAsia="en-US"/>
        </w:rPr>
        <w:t>.</w:t>
      </w:r>
    </w:p>
    <w:p w14:paraId="4A9E8968" w14:textId="77777777" w:rsidR="00E86304" w:rsidRPr="00FD274F" w:rsidRDefault="00E86304" w:rsidP="00E86304">
      <w:pPr>
        <w:pStyle w:val="Head3"/>
      </w:pPr>
      <w:bookmarkStart w:id="99" w:name="_Toc238117553"/>
      <w:r w:rsidRPr="00FD274F">
        <w:t>Agencies must notify other events affecting the Register</w:t>
      </w:r>
      <w:bookmarkEnd w:id="99"/>
    </w:p>
    <w:p w14:paraId="3F0A3E23" w14:textId="77777777" w:rsidR="00E86304" w:rsidRPr="00FD274F" w:rsidRDefault="00E86304" w:rsidP="00E86304">
      <w:pPr>
        <w:pStyle w:val="BodyNum"/>
      </w:pPr>
      <w:r w:rsidRPr="00FD274F">
        <w:t xml:space="preserve">As part of its registration services, </w:t>
      </w:r>
      <w:proofErr w:type="spellStart"/>
      <w:r w:rsidRPr="00FD274F">
        <w:t>OPC</w:t>
      </w:r>
      <w:proofErr w:type="spellEnd"/>
      <w:r w:rsidRPr="00FD274F">
        <w:t xml:space="preserve"> routinely monitors a range of ‘downstream’ processes that may affect the accuracy and completeness of registered laws. </w:t>
      </w:r>
      <w:proofErr w:type="spellStart"/>
      <w:r>
        <w:t>OPC</w:t>
      </w:r>
      <w:proofErr w:type="spellEnd"/>
      <w:r>
        <w:t xml:space="preserve"> will update the Register without notifications for the following events</w:t>
      </w:r>
      <w:r w:rsidRPr="00FD274F">
        <w:t>:</w:t>
      </w:r>
    </w:p>
    <w:p w14:paraId="06FE9903" w14:textId="77777777" w:rsidR="00E86304" w:rsidRPr="00FD274F" w:rsidRDefault="00E86304" w:rsidP="00E86304">
      <w:pPr>
        <w:pStyle w:val="BodyPara"/>
      </w:pPr>
      <w:r w:rsidRPr="00FD274F">
        <w:t>the occurrence of a specified day or time;</w:t>
      </w:r>
    </w:p>
    <w:p w14:paraId="7040C8D3" w14:textId="77777777" w:rsidR="00E86304" w:rsidRPr="00FD274F" w:rsidRDefault="00E86304" w:rsidP="00E86304">
      <w:pPr>
        <w:pStyle w:val="BodyPara"/>
      </w:pPr>
      <w:r w:rsidRPr="00FD274F">
        <w:t>the commencement of, or changes in the commencement</w:t>
      </w:r>
      <w:r>
        <w:t xml:space="preserve"> of</w:t>
      </w:r>
      <w:r w:rsidRPr="00FD274F">
        <w:t>, a registered law where the commencement is linked to either:</w:t>
      </w:r>
    </w:p>
    <w:p w14:paraId="00654476" w14:textId="77777777" w:rsidR="00E86304" w:rsidRPr="00FD274F" w:rsidRDefault="00E86304" w:rsidP="00E86304">
      <w:pPr>
        <w:pStyle w:val="BodySubPara"/>
      </w:pPr>
      <w:r w:rsidRPr="00FD274F">
        <w:t>the commencement of another registered law; or</w:t>
      </w:r>
    </w:p>
    <w:p w14:paraId="48001572" w14:textId="77777777" w:rsidR="00E86304" w:rsidRPr="00927913" w:rsidRDefault="00E86304" w:rsidP="00E86304">
      <w:pPr>
        <w:pStyle w:val="BodySubPara"/>
      </w:pPr>
      <w:r w:rsidRPr="00FD274F">
        <w:t xml:space="preserve">a commencement instrument that has been lodged for registration </w:t>
      </w:r>
      <w:r w:rsidRPr="00927913">
        <w:t>(</w:t>
      </w:r>
      <w:hyperlink r:id="rId275" w:history="1">
        <w:r w:rsidRPr="00927913">
          <w:rPr>
            <w:rStyle w:val="Hyperlink"/>
          </w:rPr>
          <w:t>LA</w:t>
        </w:r>
      </w:hyperlink>
      <w:r w:rsidRPr="00927913">
        <w:t xml:space="preserve"> s 15L(2)(a));</w:t>
      </w:r>
    </w:p>
    <w:p w14:paraId="46438132" w14:textId="77777777" w:rsidR="00E86304" w:rsidRDefault="00E86304" w:rsidP="00E86304">
      <w:pPr>
        <w:pStyle w:val="BodyPara"/>
      </w:pPr>
      <w:r w:rsidRPr="00FD274F">
        <w:t>required compilation events (</w:t>
      </w:r>
      <w:hyperlink r:id="rId276" w:history="1">
        <w:r w:rsidRPr="00927913">
          <w:rPr>
            <w:rStyle w:val="Hyperlink"/>
          </w:rPr>
          <w:t>LA</w:t>
        </w:r>
      </w:hyperlink>
      <w:r w:rsidRPr="00927913">
        <w:t xml:space="preserve"> s 15L(2)(b));</w:t>
      </w:r>
    </w:p>
    <w:p w14:paraId="26C027AB" w14:textId="77777777" w:rsidR="00E86304" w:rsidRPr="00FD274F" w:rsidRDefault="00E86304" w:rsidP="00E86304">
      <w:pPr>
        <w:pStyle w:val="BodyPara"/>
      </w:pPr>
      <w:r>
        <w:t>the disallowance of legislative instrumen</w:t>
      </w:r>
      <w:r w:rsidRPr="00927913">
        <w:t>ts (</w:t>
      </w:r>
      <w:hyperlink r:id="rId277" w:history="1">
        <w:r w:rsidRPr="00927913">
          <w:rPr>
            <w:rStyle w:val="Hyperlink"/>
          </w:rPr>
          <w:t>LA</w:t>
        </w:r>
      </w:hyperlink>
      <w:r w:rsidRPr="00927913">
        <w:t xml:space="preserve"> s 15L(2)(c));</w:t>
      </w:r>
    </w:p>
    <w:p w14:paraId="34BE900E" w14:textId="77777777" w:rsidR="00E86304" w:rsidRPr="00FD274F" w:rsidRDefault="00E86304" w:rsidP="00E86304">
      <w:pPr>
        <w:pStyle w:val="BodyPara"/>
      </w:pPr>
      <w:r w:rsidRPr="00FD274F">
        <w:t xml:space="preserve">the automatic repeal </w:t>
      </w:r>
      <w:r w:rsidRPr="00927913">
        <w:t>of a registered law that is solely commencing, amending or repealing under Part 3 of Chapter 3 of the LA (</w:t>
      </w:r>
      <w:hyperlink r:id="rId278" w:history="1">
        <w:r w:rsidRPr="00927913">
          <w:rPr>
            <w:rStyle w:val="Hyperlink"/>
          </w:rPr>
          <w:t>LA</w:t>
        </w:r>
      </w:hyperlink>
      <w:r w:rsidRPr="00927913">
        <w:t xml:space="preserve"> s 15L(2)(d)(</w:t>
      </w:r>
      <w:proofErr w:type="spellStart"/>
      <w:r w:rsidRPr="00927913">
        <w:t>i</w:t>
      </w:r>
      <w:proofErr w:type="spellEnd"/>
      <w:r w:rsidRPr="00927913">
        <w:t>));</w:t>
      </w:r>
    </w:p>
    <w:p w14:paraId="0DA94720" w14:textId="77777777" w:rsidR="00E86304" w:rsidRPr="00FD274F" w:rsidRDefault="00E86304" w:rsidP="00E86304">
      <w:pPr>
        <w:pStyle w:val="BodyPara"/>
      </w:pPr>
      <w:r w:rsidRPr="00FD274F">
        <w:t xml:space="preserve">the sunsetting of legislative instruments </w:t>
      </w:r>
      <w:r w:rsidRPr="00927913">
        <w:t>(</w:t>
      </w:r>
      <w:hyperlink r:id="rId279" w:history="1">
        <w:r w:rsidRPr="00927913">
          <w:rPr>
            <w:rStyle w:val="Hyperlink"/>
          </w:rPr>
          <w:t>LA</w:t>
        </w:r>
      </w:hyperlink>
      <w:r w:rsidRPr="00927913">
        <w:t xml:space="preserve"> s 15L(2)(d)(ii))</w:t>
      </w:r>
      <w:r w:rsidRPr="00FD274F">
        <w:t>;</w:t>
      </w:r>
    </w:p>
    <w:p w14:paraId="321A4887" w14:textId="77777777" w:rsidR="00E86304" w:rsidRPr="00FD274F" w:rsidRDefault="00E86304" w:rsidP="00E86304">
      <w:pPr>
        <w:pStyle w:val="BodyPara"/>
      </w:pPr>
      <w:r w:rsidRPr="00FD274F">
        <w:t>any other event prescribed by the rules (</w:t>
      </w:r>
      <w:hyperlink r:id="rId280" w:history="1">
        <w:r w:rsidRPr="00927913">
          <w:rPr>
            <w:rStyle w:val="Hyperlink"/>
          </w:rPr>
          <w:t>LA</w:t>
        </w:r>
      </w:hyperlink>
      <w:r w:rsidRPr="00927913">
        <w:t xml:space="preserve"> s 15L(2)(e)).</w:t>
      </w:r>
    </w:p>
    <w:p w14:paraId="355D3BD5" w14:textId="77777777" w:rsidR="00E86304" w:rsidRPr="00FD274F" w:rsidRDefault="00E86304" w:rsidP="00E86304">
      <w:pPr>
        <w:pStyle w:val="BodyNum"/>
        <w:rPr>
          <w:szCs w:val="24"/>
        </w:rPr>
      </w:pPr>
      <w:proofErr w:type="spellStart"/>
      <w:r w:rsidRPr="00FD274F">
        <w:t>OPC</w:t>
      </w:r>
      <w:proofErr w:type="spellEnd"/>
      <w:r w:rsidRPr="00FD274F">
        <w:t xml:space="preserve"> is not, however, able to monitor all of the events that could affect instruments and other registered laws. </w:t>
      </w:r>
      <w:proofErr w:type="spellStart"/>
      <w:r w:rsidRPr="00FD274F">
        <w:t>OPC</w:t>
      </w:r>
      <w:proofErr w:type="spellEnd"/>
      <w:r w:rsidRPr="00FD274F">
        <w:t xml:space="preserve"> relies on agencies to monitor and notify </w:t>
      </w:r>
      <w:proofErr w:type="spellStart"/>
      <w:r>
        <w:t>OPC</w:t>
      </w:r>
      <w:proofErr w:type="spellEnd"/>
      <w:r>
        <w:t xml:space="preserve"> of </w:t>
      </w:r>
      <w:r w:rsidRPr="00FD274F">
        <w:t>other events that may affect registered laws in accordance with subsec</w:t>
      </w:r>
      <w:r w:rsidRPr="00927913">
        <w:t xml:space="preserve">tion 15L(1) of the </w:t>
      </w:r>
      <w:hyperlink r:id="rId281" w:history="1">
        <w:r w:rsidRPr="00927913">
          <w:rPr>
            <w:rStyle w:val="Hyperlink"/>
          </w:rPr>
          <w:t>LA</w:t>
        </w:r>
      </w:hyperlink>
      <w:r w:rsidRPr="00927913">
        <w:t>. A</w:t>
      </w:r>
      <w:r w:rsidRPr="00FD274F">
        <w:t xml:space="preserve">gencies are required to notify </w:t>
      </w:r>
      <w:proofErr w:type="spellStart"/>
      <w:r w:rsidRPr="00FD274F">
        <w:t>OPC</w:t>
      </w:r>
      <w:proofErr w:type="spellEnd"/>
      <w:r w:rsidRPr="00FD274F">
        <w:t xml:space="preserve"> of any othe</w:t>
      </w:r>
      <w:r>
        <w:t>r event that has the effect of:</w:t>
      </w:r>
    </w:p>
    <w:p w14:paraId="54CD3D95" w14:textId="77777777" w:rsidR="00E86304" w:rsidRPr="00FD274F" w:rsidRDefault="00E86304" w:rsidP="00E86304">
      <w:pPr>
        <w:pStyle w:val="BodyPara"/>
      </w:pPr>
      <w:r w:rsidRPr="00FD274F">
        <w:t>commencing a registered la</w:t>
      </w:r>
      <w:r w:rsidRPr="00927913">
        <w:t>w (</w:t>
      </w:r>
      <w:hyperlink r:id="rId282" w:history="1">
        <w:r w:rsidRPr="00927913">
          <w:rPr>
            <w:rStyle w:val="Hyperlink"/>
          </w:rPr>
          <w:t>LA</w:t>
        </w:r>
      </w:hyperlink>
      <w:r w:rsidRPr="00927913">
        <w:t xml:space="preserve"> s 15L(1)(a)); or</w:t>
      </w:r>
    </w:p>
    <w:p w14:paraId="60C069D9" w14:textId="77777777" w:rsidR="00E86304" w:rsidRPr="00610DF6" w:rsidRDefault="00E86304" w:rsidP="00E86304">
      <w:pPr>
        <w:pStyle w:val="BodyPara"/>
      </w:pPr>
      <w:r w:rsidRPr="00610DF6">
        <w:t xml:space="preserve">amending the text of a registered law as in force as a result of the automatic repeal provisions under </w:t>
      </w:r>
      <w:r w:rsidRPr="00927913">
        <w:t>section 48C or 48D</w:t>
      </w:r>
      <w:r>
        <w:t xml:space="preserve"> of the </w:t>
      </w:r>
      <w:hyperlink r:id="rId283" w:history="1">
        <w:r w:rsidRPr="00927913">
          <w:rPr>
            <w:rStyle w:val="Hyperlink"/>
          </w:rPr>
          <w:t>LA</w:t>
        </w:r>
      </w:hyperlink>
      <w:r w:rsidRPr="00927913">
        <w:t>,</w:t>
      </w:r>
      <w:r w:rsidRPr="00610DF6">
        <w:t xml:space="preserve"> or modifying the text of a registered law as in force </w:t>
      </w:r>
      <w:r w:rsidRPr="00927913">
        <w:t>(</w:t>
      </w:r>
      <w:hyperlink r:id="rId284" w:history="1">
        <w:r w:rsidRPr="00927913">
          <w:rPr>
            <w:rStyle w:val="Hyperlink"/>
          </w:rPr>
          <w:t>LA</w:t>
        </w:r>
      </w:hyperlink>
      <w:r w:rsidRPr="00927913">
        <w:t xml:space="preserve"> s 15L(1)(b)); or</w:t>
      </w:r>
    </w:p>
    <w:p w14:paraId="50A9992D" w14:textId="77777777" w:rsidR="00E86304" w:rsidRPr="00FD274F" w:rsidRDefault="00E86304" w:rsidP="00E86304">
      <w:pPr>
        <w:pStyle w:val="BodyPara"/>
      </w:pPr>
      <w:r w:rsidRPr="00FD274F">
        <w:t>repealing a registered law</w:t>
      </w:r>
      <w:r>
        <w:t xml:space="preserve"> or a provision of a registered law</w:t>
      </w:r>
      <w:r w:rsidRPr="00FD274F">
        <w:t xml:space="preserve">, or otherwise causing a registered law </w:t>
      </w:r>
      <w:r>
        <w:t xml:space="preserve">or provision </w:t>
      </w:r>
      <w:r w:rsidRPr="00FD274F">
        <w:t>to cease to be in force (</w:t>
      </w:r>
      <w:hyperlink r:id="rId285" w:history="1">
        <w:r w:rsidRPr="00927913">
          <w:rPr>
            <w:rStyle w:val="Hyperlink"/>
          </w:rPr>
          <w:t>LA</w:t>
        </w:r>
      </w:hyperlink>
      <w:r w:rsidRPr="00927913">
        <w:rPr>
          <w:rStyle w:val="Hyperlink"/>
        </w:rPr>
        <w:t xml:space="preserve"> </w:t>
      </w:r>
      <w:r w:rsidRPr="00927913">
        <w:t>s 15L(1)(c));</w:t>
      </w:r>
      <w:r w:rsidRPr="00FD274F">
        <w:t xml:space="preserve"> or</w:t>
      </w:r>
    </w:p>
    <w:p w14:paraId="15662A0B" w14:textId="77777777" w:rsidR="00E86304" w:rsidRPr="00FD274F" w:rsidRDefault="00E86304" w:rsidP="00E86304">
      <w:pPr>
        <w:pStyle w:val="BodyPara"/>
      </w:pPr>
      <w:r w:rsidRPr="00FD274F">
        <w:t>rendering a registered law invalid or unenforceable (</w:t>
      </w:r>
      <w:hyperlink r:id="rId286" w:history="1">
        <w:r w:rsidRPr="00927913">
          <w:rPr>
            <w:rStyle w:val="Hyperlink"/>
          </w:rPr>
          <w:t>LA</w:t>
        </w:r>
      </w:hyperlink>
      <w:r w:rsidRPr="00927913">
        <w:rPr>
          <w:rStyle w:val="Hyperlink"/>
        </w:rPr>
        <w:t xml:space="preserve"> </w:t>
      </w:r>
      <w:r w:rsidRPr="00927913">
        <w:t>s 15L(1)(d)</w:t>
      </w:r>
      <w:r w:rsidRPr="00FD274F">
        <w:t>)</w:t>
      </w:r>
      <w:r>
        <w:t xml:space="preserve"> (e.g. as a result of a court or tribunal decision)</w:t>
      </w:r>
      <w:r w:rsidRPr="00FD274F">
        <w:t>.</w:t>
      </w:r>
    </w:p>
    <w:p w14:paraId="0B67A18B" w14:textId="77777777" w:rsidR="00E86304" w:rsidRPr="00FD274F" w:rsidRDefault="00E86304" w:rsidP="00E86304">
      <w:pPr>
        <w:pStyle w:val="BodyNum"/>
        <w:rPr>
          <w:szCs w:val="24"/>
        </w:rPr>
      </w:pPr>
      <w:r w:rsidRPr="00FD274F">
        <w:rPr>
          <w:szCs w:val="24"/>
        </w:rPr>
        <w:lastRenderedPageBreak/>
        <w:t xml:space="preserve">Examples of events that agencies must notify </w:t>
      </w:r>
      <w:proofErr w:type="spellStart"/>
      <w:r>
        <w:rPr>
          <w:szCs w:val="24"/>
        </w:rPr>
        <w:t>OPC</w:t>
      </w:r>
      <w:proofErr w:type="spellEnd"/>
      <w:r>
        <w:rPr>
          <w:szCs w:val="24"/>
        </w:rPr>
        <w:t xml:space="preserve"> of </w:t>
      </w:r>
      <w:r w:rsidRPr="00FD274F">
        <w:rPr>
          <w:szCs w:val="24"/>
        </w:rPr>
        <w:t>are as follows:</w:t>
      </w:r>
    </w:p>
    <w:p w14:paraId="21AD1828" w14:textId="77777777" w:rsidR="00E86304" w:rsidRPr="00FD274F" w:rsidRDefault="00E86304" w:rsidP="00E86304">
      <w:pPr>
        <w:pStyle w:val="BodyPara"/>
      </w:pPr>
      <w:r w:rsidRPr="00FD274F">
        <w:t xml:space="preserve">the commencement of State </w:t>
      </w:r>
      <w:r>
        <w:t xml:space="preserve">or Territory </w:t>
      </w:r>
      <w:r w:rsidRPr="00FD274F">
        <w:t>law</w:t>
      </w:r>
      <w:r>
        <w:t>s</w:t>
      </w:r>
      <w:r w:rsidRPr="00FD274F">
        <w:t xml:space="preserve"> or of an international treaty, where this triggers the commencement of a registered law;</w:t>
      </w:r>
    </w:p>
    <w:p w14:paraId="08847506" w14:textId="77777777" w:rsidR="00E86304" w:rsidRPr="00FD274F" w:rsidRDefault="00E86304" w:rsidP="00E86304">
      <w:pPr>
        <w:pStyle w:val="BodyPara"/>
      </w:pPr>
      <w:r w:rsidRPr="00FD274F">
        <w:t xml:space="preserve">the implied amendment of a registered law </w:t>
      </w:r>
      <w:r>
        <w:t>(</w:t>
      </w:r>
      <w:r w:rsidRPr="00FD274F">
        <w:t>for example, by an amendment that is broadly framed and that does not specify each law that is amended</w:t>
      </w:r>
      <w:r>
        <w:t>)</w:t>
      </w:r>
      <w:r w:rsidRPr="00FD274F">
        <w:t>;</w:t>
      </w:r>
    </w:p>
    <w:p w14:paraId="5C8A2D63" w14:textId="77777777" w:rsidR="00E86304" w:rsidRPr="00FD274F" w:rsidRDefault="00E86304" w:rsidP="00E86304">
      <w:pPr>
        <w:pStyle w:val="BodyPara"/>
      </w:pPr>
      <w:r w:rsidRPr="00FD274F">
        <w:t xml:space="preserve">the implied repeal of a law </w:t>
      </w:r>
      <w:r>
        <w:t>(</w:t>
      </w:r>
      <w:r w:rsidRPr="00FD274F">
        <w:t>for example, by the repeal of an instrument’s enabling legislation or provision</w:t>
      </w:r>
      <w:r>
        <w:t>)</w:t>
      </w:r>
      <w:r w:rsidRPr="00FD274F">
        <w:t>;</w:t>
      </w:r>
    </w:p>
    <w:p w14:paraId="3BFC105F" w14:textId="77777777" w:rsidR="00E86304" w:rsidRPr="00FD274F" w:rsidRDefault="00E86304" w:rsidP="00E86304">
      <w:pPr>
        <w:pStyle w:val="BodyPara"/>
      </w:pPr>
      <w:r w:rsidRPr="00FD274F">
        <w:t>the preservation of an instrument by a saving, application or transitional provision despite the repeal of its enabling legislation or provision.</w:t>
      </w:r>
    </w:p>
    <w:p w14:paraId="500CEB72" w14:textId="77777777" w:rsidR="00E86304" w:rsidRPr="00FD274F" w:rsidRDefault="00E86304" w:rsidP="00E86304">
      <w:pPr>
        <w:pStyle w:val="BodyNum"/>
        <w:rPr>
          <w:szCs w:val="24"/>
        </w:rPr>
      </w:pPr>
      <w:r w:rsidRPr="00FD274F">
        <w:t xml:space="preserve">Agencies are asked to notify </w:t>
      </w:r>
      <w:proofErr w:type="spellStart"/>
      <w:r w:rsidRPr="00FD274F">
        <w:t>OPC</w:t>
      </w:r>
      <w:proofErr w:type="spellEnd"/>
      <w:r w:rsidRPr="00FD274F">
        <w:t xml:space="preserve"> of even</w:t>
      </w:r>
      <w:r w:rsidRPr="00FD274F">
        <w:rPr>
          <w:szCs w:val="24"/>
        </w:rPr>
        <w:t xml:space="preserve">ts by emailing </w:t>
      </w:r>
      <w:hyperlink r:id="rId287" w:history="1">
        <w:hyperlink r:id="rId288" w:history="1">
          <w:r w:rsidRPr="00FD274F">
            <w:rPr>
              <w:rStyle w:val="Hyperlink"/>
              <w:rFonts w:eastAsiaTheme="minorHAnsi"/>
              <w:szCs w:val="24"/>
              <w:lang w:eastAsia="en-US"/>
            </w:rPr>
            <w:t>lodge@legislation.gov.au</w:t>
          </w:r>
        </w:hyperlink>
      </w:hyperlink>
      <w:r w:rsidRPr="00FD274F">
        <w:rPr>
          <w:szCs w:val="24"/>
        </w:rPr>
        <w:t xml:space="preserve"> and to attach or provide links to documentary evidence of the relevant event, such as a court judgement or a written statement from an SES employee </w:t>
      </w:r>
      <w:r w:rsidRPr="0049119D">
        <w:rPr>
          <w:szCs w:val="24"/>
        </w:rPr>
        <w:t>(</w:t>
      </w:r>
      <w:hyperlink r:id="rId289" w:history="1">
        <w:r w:rsidRPr="00001937">
          <w:rPr>
            <w:rStyle w:val="Hyperlink"/>
            <w:szCs w:val="24"/>
          </w:rPr>
          <w:t>LR</w:t>
        </w:r>
      </w:hyperlink>
      <w:r w:rsidRPr="0049119D">
        <w:rPr>
          <w:szCs w:val="24"/>
        </w:rPr>
        <w:t xml:space="preserve"> s 1</w:t>
      </w:r>
      <w:r>
        <w:rPr>
          <w:szCs w:val="24"/>
        </w:rPr>
        <w:t>7</w:t>
      </w:r>
      <w:r w:rsidRPr="0049119D">
        <w:rPr>
          <w:szCs w:val="24"/>
        </w:rPr>
        <w:t>). T</w:t>
      </w:r>
      <w:r w:rsidRPr="00FD274F">
        <w:rPr>
          <w:szCs w:val="24"/>
        </w:rPr>
        <w:t>his evidence may be registered and</w:t>
      </w:r>
      <w:r>
        <w:rPr>
          <w:szCs w:val="24"/>
        </w:rPr>
        <w:t>,</w:t>
      </w:r>
      <w:r w:rsidRPr="00FD274F">
        <w:rPr>
          <w:szCs w:val="24"/>
        </w:rPr>
        <w:t xml:space="preserve"> as such, must not contain classified or sensitive information.</w:t>
      </w:r>
    </w:p>
    <w:p w14:paraId="1AB15393" w14:textId="77777777" w:rsidR="00E86304" w:rsidRPr="00FD274F" w:rsidRDefault="00E86304" w:rsidP="00E86304">
      <w:pPr>
        <w:pStyle w:val="Head3"/>
      </w:pPr>
      <w:bookmarkStart w:id="100" w:name="_Toc238117554"/>
      <w:r w:rsidRPr="00FD274F">
        <w:t>If an error is found in the Register</w:t>
      </w:r>
      <w:bookmarkEnd w:id="100"/>
    </w:p>
    <w:p w14:paraId="1FDFFC1B" w14:textId="77777777" w:rsidR="00E86304" w:rsidRDefault="00E86304" w:rsidP="00E86304">
      <w:pPr>
        <w:pStyle w:val="BodyNum"/>
        <w:rPr>
          <w:spacing w:val="-4"/>
        </w:rPr>
      </w:pPr>
      <w:bookmarkStart w:id="101" w:name="_Ref442361469"/>
      <w:r>
        <w:rPr>
          <w:spacing w:val="-4"/>
        </w:rPr>
        <w:t>Errors found in the Register broadly fall into three categories: metadata, textual and presentational. Each of these categories of error require different approaches to resolve the issues as laid out in the table below.</w:t>
      </w:r>
    </w:p>
    <w:p w14:paraId="6ED75925" w14:textId="77777777" w:rsidR="00E86304" w:rsidRPr="00123745" w:rsidRDefault="00E86304" w:rsidP="00E86304">
      <w:pPr>
        <w:pStyle w:val="Tabletext"/>
      </w:pPr>
    </w:p>
    <w:tbl>
      <w:tblPr>
        <w:tblW w:w="0" w:type="auto"/>
        <w:tblInd w:w="113" w:type="dxa"/>
        <w:tblBorders>
          <w:top w:val="single" w:sz="4" w:space="0" w:color="auto"/>
          <w:bottom w:val="single" w:sz="2" w:space="0" w:color="auto"/>
          <w:insideH w:val="single" w:sz="4" w:space="0" w:color="auto"/>
        </w:tblBorders>
        <w:tblLayout w:type="fixed"/>
        <w:tblLook w:val="0000" w:firstRow="0" w:lastRow="0" w:firstColumn="0" w:lastColumn="0" w:noHBand="0" w:noVBand="0"/>
      </w:tblPr>
      <w:tblGrid>
        <w:gridCol w:w="1731"/>
        <w:gridCol w:w="2659"/>
        <w:gridCol w:w="2693"/>
        <w:gridCol w:w="1843"/>
      </w:tblGrid>
      <w:tr w:rsidR="00E86304" w:rsidRPr="00FD274F" w14:paraId="1FC6ED7C" w14:textId="77777777" w:rsidTr="00C11826">
        <w:trPr>
          <w:tblHeader/>
        </w:trPr>
        <w:tc>
          <w:tcPr>
            <w:tcW w:w="1731" w:type="dxa"/>
            <w:tcBorders>
              <w:top w:val="single" w:sz="12" w:space="0" w:color="auto"/>
              <w:bottom w:val="single" w:sz="12" w:space="0" w:color="auto"/>
            </w:tcBorders>
          </w:tcPr>
          <w:p w14:paraId="5683C944" w14:textId="77777777" w:rsidR="00E86304" w:rsidRPr="00FD274F" w:rsidRDefault="00E86304" w:rsidP="00C11826">
            <w:pPr>
              <w:pStyle w:val="TableHeading"/>
            </w:pPr>
            <w:r>
              <w:t>Category of error</w:t>
            </w:r>
          </w:p>
        </w:tc>
        <w:tc>
          <w:tcPr>
            <w:tcW w:w="2659" w:type="dxa"/>
            <w:tcBorders>
              <w:top w:val="single" w:sz="12" w:space="0" w:color="auto"/>
              <w:bottom w:val="single" w:sz="12" w:space="0" w:color="auto"/>
            </w:tcBorders>
          </w:tcPr>
          <w:p w14:paraId="18CD140A" w14:textId="77777777" w:rsidR="00E86304" w:rsidRPr="00FD274F" w:rsidRDefault="00E86304" w:rsidP="00C11826">
            <w:pPr>
              <w:pStyle w:val="TableHeading"/>
            </w:pPr>
            <w:r>
              <w:t>Description</w:t>
            </w:r>
          </w:p>
        </w:tc>
        <w:tc>
          <w:tcPr>
            <w:tcW w:w="2693" w:type="dxa"/>
            <w:tcBorders>
              <w:top w:val="single" w:sz="12" w:space="0" w:color="auto"/>
              <w:bottom w:val="single" w:sz="12" w:space="0" w:color="auto"/>
            </w:tcBorders>
          </w:tcPr>
          <w:p w14:paraId="0E869169" w14:textId="77777777" w:rsidR="00E86304" w:rsidRDefault="00E86304" w:rsidP="00C11826">
            <w:pPr>
              <w:pStyle w:val="TableHeading"/>
            </w:pPr>
            <w:r>
              <w:t>Example(s)</w:t>
            </w:r>
          </w:p>
        </w:tc>
        <w:tc>
          <w:tcPr>
            <w:tcW w:w="1843" w:type="dxa"/>
            <w:tcBorders>
              <w:top w:val="single" w:sz="12" w:space="0" w:color="auto"/>
              <w:bottom w:val="single" w:sz="12" w:space="0" w:color="auto"/>
            </w:tcBorders>
          </w:tcPr>
          <w:p w14:paraId="5B853173" w14:textId="77777777" w:rsidR="00E86304" w:rsidRDefault="00E86304" w:rsidP="00C11826">
            <w:pPr>
              <w:pStyle w:val="TableHeading"/>
            </w:pPr>
            <w:r>
              <w:t>Action required</w:t>
            </w:r>
          </w:p>
        </w:tc>
      </w:tr>
      <w:tr w:rsidR="00E86304" w:rsidRPr="00FD274F" w14:paraId="7E37AEB5" w14:textId="77777777" w:rsidTr="00C11826">
        <w:tc>
          <w:tcPr>
            <w:tcW w:w="1731" w:type="dxa"/>
            <w:tcBorders>
              <w:top w:val="single" w:sz="12" w:space="0" w:color="auto"/>
            </w:tcBorders>
          </w:tcPr>
          <w:p w14:paraId="2D916652" w14:textId="77777777" w:rsidR="00E86304" w:rsidRPr="00FD274F" w:rsidRDefault="00E86304" w:rsidP="00C11826">
            <w:pPr>
              <w:pStyle w:val="Tabletext"/>
            </w:pPr>
            <w:r>
              <w:t>Metadata</w:t>
            </w:r>
          </w:p>
        </w:tc>
        <w:tc>
          <w:tcPr>
            <w:tcW w:w="2659" w:type="dxa"/>
            <w:tcBorders>
              <w:top w:val="single" w:sz="12" w:space="0" w:color="auto"/>
            </w:tcBorders>
          </w:tcPr>
          <w:p w14:paraId="3E0F1B13" w14:textId="77777777" w:rsidR="00E86304" w:rsidRPr="00FD274F" w:rsidRDefault="00E86304" w:rsidP="00C11826">
            <w:pPr>
              <w:pStyle w:val="Tabletext"/>
            </w:pPr>
            <w:r>
              <w:t>Information presented on the Register about the content of legislation</w:t>
            </w:r>
          </w:p>
        </w:tc>
        <w:tc>
          <w:tcPr>
            <w:tcW w:w="2693" w:type="dxa"/>
            <w:tcBorders>
              <w:top w:val="single" w:sz="12" w:space="0" w:color="auto"/>
            </w:tcBorders>
          </w:tcPr>
          <w:p w14:paraId="648E8616" w14:textId="77777777" w:rsidR="00E86304" w:rsidRDefault="00E86304" w:rsidP="00C11826">
            <w:pPr>
              <w:pStyle w:val="Tabletext"/>
            </w:pPr>
            <w:r>
              <w:t>Administering department listed incorrectly, status is appearing as no longer in force prior to the repeal date</w:t>
            </w:r>
          </w:p>
        </w:tc>
        <w:tc>
          <w:tcPr>
            <w:tcW w:w="1843" w:type="dxa"/>
            <w:tcBorders>
              <w:top w:val="single" w:sz="12" w:space="0" w:color="auto"/>
            </w:tcBorders>
          </w:tcPr>
          <w:p w14:paraId="4ABAE032" w14:textId="77777777" w:rsidR="00E86304" w:rsidRDefault="00E86304" w:rsidP="00C11826">
            <w:pPr>
              <w:pStyle w:val="Tabletext"/>
            </w:pPr>
            <w:r>
              <w:t xml:space="preserve">Notify </w:t>
            </w:r>
            <w:proofErr w:type="spellStart"/>
            <w:r>
              <w:t>OPC</w:t>
            </w:r>
            <w:proofErr w:type="spellEnd"/>
            <w:r>
              <w:t>* to request that metadata be updated</w:t>
            </w:r>
          </w:p>
        </w:tc>
      </w:tr>
      <w:tr w:rsidR="00E86304" w:rsidRPr="00FD274F" w14:paraId="39DE6222" w14:textId="77777777" w:rsidTr="00C11826">
        <w:tc>
          <w:tcPr>
            <w:tcW w:w="1731" w:type="dxa"/>
            <w:tcBorders>
              <w:bottom w:val="single" w:sz="4" w:space="0" w:color="auto"/>
            </w:tcBorders>
          </w:tcPr>
          <w:p w14:paraId="39366013" w14:textId="77777777" w:rsidR="00E86304" w:rsidRPr="00FD274F" w:rsidRDefault="00E86304" w:rsidP="00C11826">
            <w:pPr>
              <w:pStyle w:val="Tabletext"/>
            </w:pPr>
            <w:r>
              <w:t>Textual</w:t>
            </w:r>
          </w:p>
        </w:tc>
        <w:tc>
          <w:tcPr>
            <w:tcW w:w="2659" w:type="dxa"/>
            <w:tcBorders>
              <w:bottom w:val="single" w:sz="4" w:space="0" w:color="auto"/>
            </w:tcBorders>
          </w:tcPr>
          <w:p w14:paraId="7610785D" w14:textId="77777777" w:rsidR="00E86304" w:rsidRDefault="00E86304" w:rsidP="00C11826">
            <w:pPr>
              <w:pStyle w:val="Tabletext"/>
            </w:pPr>
            <w:r>
              <w:t>Text of the document in the Register is not the same as the text as made or assented to</w:t>
            </w:r>
          </w:p>
          <w:p w14:paraId="70E68237" w14:textId="77777777" w:rsidR="00E86304" w:rsidRPr="00FD274F" w:rsidRDefault="00E86304" w:rsidP="00C11826">
            <w:pPr>
              <w:pStyle w:val="Tabletext"/>
            </w:pPr>
            <w:r>
              <w:t>Text of the document in the Register is incorrect as a result of the compilation process</w:t>
            </w:r>
          </w:p>
        </w:tc>
        <w:tc>
          <w:tcPr>
            <w:tcW w:w="2693" w:type="dxa"/>
            <w:tcBorders>
              <w:bottom w:val="single" w:sz="4" w:space="0" w:color="auto"/>
            </w:tcBorders>
          </w:tcPr>
          <w:p w14:paraId="561E70B0" w14:textId="77777777" w:rsidR="00E86304" w:rsidRDefault="00E86304" w:rsidP="00C11826">
            <w:pPr>
              <w:pStyle w:val="Tabletext"/>
            </w:pPr>
            <w:r>
              <w:t>An earlier electronic version rather than the final signed version was lodged for registration</w:t>
            </w:r>
          </w:p>
          <w:p w14:paraId="68D601C0" w14:textId="77777777" w:rsidR="00E86304" w:rsidRDefault="00E86304" w:rsidP="00C11826">
            <w:pPr>
              <w:pStyle w:val="Tabletext"/>
            </w:pPr>
            <w:r>
              <w:t>A compilation where one of the amendments was not incorporated</w:t>
            </w:r>
          </w:p>
        </w:tc>
        <w:tc>
          <w:tcPr>
            <w:tcW w:w="1843" w:type="dxa"/>
            <w:tcBorders>
              <w:bottom w:val="single" w:sz="4" w:space="0" w:color="auto"/>
            </w:tcBorders>
          </w:tcPr>
          <w:p w14:paraId="750E1F94" w14:textId="77777777" w:rsidR="00E86304" w:rsidRDefault="00E86304" w:rsidP="00C11826">
            <w:pPr>
              <w:pStyle w:val="Tabletext"/>
            </w:pPr>
            <w:r>
              <w:t xml:space="preserve">Notify </w:t>
            </w:r>
            <w:proofErr w:type="spellStart"/>
            <w:r>
              <w:t>OPC</w:t>
            </w:r>
            <w:proofErr w:type="spellEnd"/>
            <w:r>
              <w:t>* to discuss rectifying the document</w:t>
            </w:r>
          </w:p>
        </w:tc>
      </w:tr>
      <w:tr w:rsidR="00E86304" w:rsidRPr="00FD274F" w14:paraId="1359C27F" w14:textId="77777777" w:rsidTr="00C11826">
        <w:tc>
          <w:tcPr>
            <w:tcW w:w="1731" w:type="dxa"/>
            <w:tcBorders>
              <w:bottom w:val="single" w:sz="12" w:space="0" w:color="auto"/>
            </w:tcBorders>
          </w:tcPr>
          <w:p w14:paraId="23678573" w14:textId="77777777" w:rsidR="00E86304" w:rsidRDefault="00E86304" w:rsidP="00C11826">
            <w:pPr>
              <w:pStyle w:val="Tabletext"/>
            </w:pPr>
            <w:r>
              <w:t>Presentational</w:t>
            </w:r>
          </w:p>
        </w:tc>
        <w:tc>
          <w:tcPr>
            <w:tcW w:w="2659" w:type="dxa"/>
            <w:tcBorders>
              <w:bottom w:val="single" w:sz="12" w:space="0" w:color="auto"/>
            </w:tcBorders>
          </w:tcPr>
          <w:p w14:paraId="5577511C" w14:textId="77777777" w:rsidR="00E86304" w:rsidRDefault="00E86304" w:rsidP="00C11826">
            <w:pPr>
              <w:pStyle w:val="Tabletext"/>
            </w:pPr>
            <w:r>
              <w:t>An aspect of the document in the Register relating to its form and not its substance is not properly presented</w:t>
            </w:r>
          </w:p>
        </w:tc>
        <w:tc>
          <w:tcPr>
            <w:tcW w:w="2693" w:type="dxa"/>
            <w:tcBorders>
              <w:bottom w:val="single" w:sz="12" w:space="0" w:color="auto"/>
            </w:tcBorders>
          </w:tcPr>
          <w:p w14:paraId="5D6F922F" w14:textId="77777777" w:rsidR="00E86304" w:rsidRDefault="00E86304" w:rsidP="00C11826">
            <w:pPr>
              <w:pStyle w:val="Tabletext"/>
            </w:pPr>
            <w:r>
              <w:t>Missing headers, additional blank pages</w:t>
            </w:r>
          </w:p>
        </w:tc>
        <w:tc>
          <w:tcPr>
            <w:tcW w:w="1843" w:type="dxa"/>
            <w:tcBorders>
              <w:bottom w:val="single" w:sz="12" w:space="0" w:color="auto"/>
            </w:tcBorders>
          </w:tcPr>
          <w:p w14:paraId="1C480E50" w14:textId="77777777" w:rsidR="00E86304" w:rsidRDefault="00E86304" w:rsidP="00C11826">
            <w:pPr>
              <w:pStyle w:val="Tabletext"/>
            </w:pPr>
            <w:r>
              <w:t xml:space="preserve">Notify </w:t>
            </w:r>
            <w:proofErr w:type="spellStart"/>
            <w:r>
              <w:t>OPC</w:t>
            </w:r>
            <w:proofErr w:type="spellEnd"/>
            <w:r>
              <w:t>* to discuss replacing the document</w:t>
            </w:r>
          </w:p>
        </w:tc>
      </w:tr>
    </w:tbl>
    <w:p w14:paraId="758734C9" w14:textId="77777777" w:rsidR="00E86304" w:rsidRPr="00123745" w:rsidRDefault="00E86304" w:rsidP="00E86304">
      <w:pPr>
        <w:pStyle w:val="Tabletext"/>
      </w:pPr>
      <w:r>
        <w:t xml:space="preserve">*Please notify us by emailing the details to </w:t>
      </w:r>
      <w:hyperlink r:id="rId290" w:history="1">
        <w:hyperlink r:id="rId291" w:history="1">
          <w:r w:rsidRPr="00FD274F">
            <w:rPr>
              <w:rStyle w:val="Hyperlink"/>
              <w:rFonts w:eastAsiaTheme="minorHAnsi"/>
              <w:szCs w:val="24"/>
              <w:lang w:eastAsia="en-US"/>
            </w:rPr>
            <w:t>lodge@legislation.gov.au</w:t>
          </w:r>
        </w:hyperlink>
      </w:hyperlink>
      <w:r>
        <w:t xml:space="preserve"> or calling </w:t>
      </w:r>
      <w:r w:rsidRPr="00FD274F">
        <w:t xml:space="preserve">the </w:t>
      </w:r>
      <w:r>
        <w:t>Lodgement</w:t>
      </w:r>
      <w:r w:rsidRPr="00FD274F">
        <w:t xml:space="preserve"> Help Desk on (02) 6120 1350</w:t>
      </w:r>
      <w:r>
        <w:t xml:space="preserve"> to discuss the issue.</w:t>
      </w:r>
    </w:p>
    <w:p w14:paraId="5F00FB21" w14:textId="77777777" w:rsidR="00E86304" w:rsidRDefault="00E86304" w:rsidP="00E86304">
      <w:pPr>
        <w:pStyle w:val="BodyNum"/>
        <w:rPr>
          <w:spacing w:val="-4"/>
        </w:rPr>
      </w:pPr>
      <w:r>
        <w:rPr>
          <w:spacing w:val="-4"/>
        </w:rPr>
        <w:t xml:space="preserve">Errors relating to the substance, content or underlying policy of legislation sit outside </w:t>
      </w:r>
      <w:proofErr w:type="spellStart"/>
      <w:r>
        <w:rPr>
          <w:spacing w:val="-4"/>
        </w:rPr>
        <w:t>OPC’s</w:t>
      </w:r>
      <w:proofErr w:type="spellEnd"/>
      <w:r>
        <w:rPr>
          <w:spacing w:val="-4"/>
        </w:rPr>
        <w:t xml:space="preserve"> scope and should be addressed to the relevant administering department.</w:t>
      </w:r>
    </w:p>
    <w:p w14:paraId="43AF016C" w14:textId="77777777" w:rsidR="00E86304" w:rsidRPr="00FD274F" w:rsidRDefault="00E86304" w:rsidP="00E86304">
      <w:pPr>
        <w:pStyle w:val="BodyNum"/>
        <w:rPr>
          <w:spacing w:val="-4"/>
        </w:rPr>
      </w:pPr>
      <w:r w:rsidRPr="00FD274F">
        <w:rPr>
          <w:spacing w:val="-4"/>
        </w:rPr>
        <w:t xml:space="preserve">If an agency or another user of the Register notifies </w:t>
      </w:r>
      <w:proofErr w:type="spellStart"/>
      <w:r w:rsidRPr="00FD274F">
        <w:rPr>
          <w:spacing w:val="-4"/>
        </w:rPr>
        <w:t>OPC</w:t>
      </w:r>
      <w:proofErr w:type="spellEnd"/>
      <w:r w:rsidRPr="00FD274F">
        <w:rPr>
          <w:spacing w:val="-4"/>
        </w:rPr>
        <w:t xml:space="preserve"> of an error in the Register</w:t>
      </w:r>
      <w:r>
        <w:rPr>
          <w:spacing w:val="-4"/>
        </w:rPr>
        <w:t xml:space="preserve"> that arises because the text of the document in the Register is not the same as the text as made or assented to or the document was not compiled correctly</w:t>
      </w:r>
      <w:r w:rsidRPr="00FD274F">
        <w:rPr>
          <w:spacing w:val="-4"/>
        </w:rPr>
        <w:t xml:space="preserve">, the matter will be investigated consistent </w:t>
      </w:r>
      <w:r w:rsidRPr="00FD274F">
        <w:rPr>
          <w:spacing w:val="-4"/>
        </w:rPr>
        <w:lastRenderedPageBreak/>
        <w:t xml:space="preserve">with the First Parliamentary Counsel’s obligation to </w:t>
      </w:r>
      <w:r>
        <w:rPr>
          <w:spacing w:val="-4"/>
        </w:rPr>
        <w:t xml:space="preserve">rectify </w:t>
      </w:r>
      <w:r w:rsidRPr="00FD274F">
        <w:rPr>
          <w:spacing w:val="-4"/>
        </w:rPr>
        <w:t>errors under s</w:t>
      </w:r>
      <w:r w:rsidRPr="005633BF">
        <w:rPr>
          <w:spacing w:val="-4"/>
        </w:rPr>
        <w:t xml:space="preserve">ubsection 15D(1) of the </w:t>
      </w:r>
      <w:hyperlink r:id="rId292" w:history="1">
        <w:r w:rsidRPr="005633BF">
          <w:rPr>
            <w:rStyle w:val="Hyperlink"/>
          </w:rPr>
          <w:t>LA</w:t>
        </w:r>
      </w:hyperlink>
      <w:r w:rsidRPr="005633BF">
        <w:rPr>
          <w:spacing w:val="-4"/>
        </w:rPr>
        <w:t>.</w:t>
      </w:r>
      <w:r w:rsidRPr="00FD274F">
        <w:rPr>
          <w:spacing w:val="-4"/>
        </w:rPr>
        <w:t xml:space="preserve"> A </w:t>
      </w:r>
      <w:r>
        <w:rPr>
          <w:spacing w:val="-4"/>
        </w:rPr>
        <w:t>rectification</w:t>
      </w:r>
      <w:r w:rsidRPr="00FD274F">
        <w:rPr>
          <w:spacing w:val="-4"/>
        </w:rPr>
        <w:t xml:space="preserve"> may be appropriate if, for example:</w:t>
      </w:r>
      <w:bookmarkEnd w:id="101"/>
    </w:p>
    <w:p w14:paraId="2BD65D4F" w14:textId="77777777" w:rsidR="00E86304" w:rsidRPr="00FD274F" w:rsidRDefault="00E86304" w:rsidP="00E86304">
      <w:pPr>
        <w:pStyle w:val="BodyPara"/>
      </w:pPr>
      <w:r w:rsidRPr="00FD274F">
        <w:t>a symbol or mathematical formula is not displaying correctly in the authoris</w:t>
      </w:r>
      <w:r>
        <w:t>ed version of an instrument; or</w:t>
      </w:r>
    </w:p>
    <w:p w14:paraId="59C667B4" w14:textId="77777777" w:rsidR="00E86304" w:rsidRPr="00FD274F" w:rsidRDefault="00E86304" w:rsidP="00E86304">
      <w:pPr>
        <w:pStyle w:val="BodyPara"/>
      </w:pPr>
      <w:r w:rsidRPr="00FD274F">
        <w:t>an amendment has not been incorporated into a compilation correctly or in a timely manner (for example, because commencement was tied to an event that</w:t>
      </w:r>
      <w:r>
        <w:t xml:space="preserve"> was not notified promptly); or</w:t>
      </w:r>
    </w:p>
    <w:p w14:paraId="2B855396" w14:textId="77777777" w:rsidR="00E86304" w:rsidRPr="00FD274F" w:rsidRDefault="00E86304" w:rsidP="00E86304">
      <w:pPr>
        <w:pStyle w:val="BodyPara"/>
      </w:pPr>
      <w:r>
        <w:t>an electronic version of a disallowable legislative instrument registered on the Register does not accurately reflect the text of the original document as made by the rule</w:t>
      </w:r>
      <w:r>
        <w:noBreakHyphen/>
        <w:t>maker.</w:t>
      </w:r>
    </w:p>
    <w:p w14:paraId="34E46A40" w14:textId="77777777" w:rsidR="00E86304" w:rsidRPr="005633BF" w:rsidRDefault="00E86304" w:rsidP="00E86304">
      <w:pPr>
        <w:pStyle w:val="BodyNum"/>
      </w:pPr>
      <w:r w:rsidRPr="00FD274F">
        <w:t xml:space="preserve">If a </w:t>
      </w:r>
      <w:r>
        <w:t>rectification</w:t>
      </w:r>
      <w:r w:rsidRPr="00FD274F">
        <w:t xml:space="preserve"> </w:t>
      </w:r>
      <w:r>
        <w:t xml:space="preserve">or a replacement </w:t>
      </w:r>
      <w:r w:rsidRPr="00FD274F">
        <w:t xml:space="preserve">is made, both the </w:t>
      </w:r>
      <w:r>
        <w:t>rectified or replaced version</w:t>
      </w:r>
      <w:r w:rsidRPr="00FD274F">
        <w:t xml:space="preserve"> and the original document remain on the Register to enable users to assess the legal effect of changes. The Register is also annotated to show that a </w:t>
      </w:r>
      <w:r>
        <w:t xml:space="preserve">replacement </w:t>
      </w:r>
      <w:r w:rsidRPr="00FD274F">
        <w:t xml:space="preserve">has been made and to outline </w:t>
      </w:r>
      <w:r>
        <w:t>the rectification</w:t>
      </w:r>
      <w:r w:rsidRPr="00FD274F">
        <w:t xml:space="preserve"> </w:t>
      </w:r>
      <w:r>
        <w:t xml:space="preserve">or replacement </w:t>
      </w:r>
      <w:r w:rsidRPr="00FD274F">
        <w:t xml:space="preserve">in general terms </w:t>
      </w:r>
      <w:r w:rsidRPr="005633BF">
        <w:t>(</w:t>
      </w:r>
      <w:hyperlink r:id="rId293" w:history="1">
        <w:r w:rsidRPr="005633BF">
          <w:rPr>
            <w:rStyle w:val="Hyperlink"/>
          </w:rPr>
          <w:t>LA</w:t>
        </w:r>
      </w:hyperlink>
      <w:r w:rsidRPr="005633BF">
        <w:rPr>
          <w:rStyle w:val="Hyperlink"/>
        </w:rPr>
        <w:t xml:space="preserve"> </w:t>
      </w:r>
      <w:r w:rsidRPr="005633BF">
        <w:t>s 15D(2)).</w:t>
      </w:r>
    </w:p>
    <w:p w14:paraId="39CCDB0A" w14:textId="77777777" w:rsidR="00E86304" w:rsidRPr="005D53B9" w:rsidRDefault="00E86304" w:rsidP="00E86304">
      <w:pPr>
        <w:pStyle w:val="BodyNum"/>
      </w:pPr>
      <w:r w:rsidRPr="00FD274F">
        <w:t xml:space="preserve">A </w:t>
      </w:r>
      <w:r>
        <w:t>rectification</w:t>
      </w:r>
      <w:r w:rsidRPr="00FD274F">
        <w:t xml:space="preserve"> may not be appropriate in every instance. For example, if the text of an instrument contains a typographic</w:t>
      </w:r>
      <w:r>
        <w:t>al</w:t>
      </w:r>
      <w:r w:rsidRPr="00FD274F">
        <w:t xml:space="preserve"> error but the text is consistent with the text made by the rule</w:t>
      </w:r>
      <w:r>
        <w:noBreakHyphen/>
      </w:r>
      <w:r w:rsidRPr="00FD274F">
        <w:t>maker, the error cannot be corrected under sectio</w:t>
      </w:r>
      <w:r w:rsidRPr="005633BF">
        <w:t xml:space="preserve">n 15D of the </w:t>
      </w:r>
      <w:hyperlink r:id="rId294" w:history="1">
        <w:r w:rsidRPr="005633BF">
          <w:rPr>
            <w:rStyle w:val="Hyperlink"/>
          </w:rPr>
          <w:t>LA</w:t>
        </w:r>
      </w:hyperlink>
      <w:r w:rsidRPr="005633BF">
        <w:t>.</w:t>
      </w:r>
      <w:r w:rsidRPr="00FD274F">
        <w:t xml:space="preserve"> However, in this example, it may be possible for </w:t>
      </w:r>
      <w:proofErr w:type="spellStart"/>
      <w:r w:rsidRPr="00FD274F">
        <w:t>OPC</w:t>
      </w:r>
      <w:proofErr w:type="spellEnd"/>
      <w:r w:rsidRPr="00FD274F">
        <w:t xml:space="preserve"> to prepare a compilation that incorporates an editorial change that fixes the error. For more information on </w:t>
      </w:r>
      <w:proofErr w:type="spellStart"/>
      <w:r w:rsidRPr="00FD274F">
        <w:t>OPC’s</w:t>
      </w:r>
      <w:proofErr w:type="spellEnd"/>
      <w:r w:rsidRPr="00FD274F">
        <w:t xml:space="preserve"> editorial powers, see </w:t>
      </w:r>
      <w:r w:rsidRPr="005D53B9">
        <w:t xml:space="preserve">paragraphs </w:t>
      </w:r>
      <w:r>
        <w:t>52–58 of the Compilations Handbook.</w:t>
      </w:r>
    </w:p>
    <w:p w14:paraId="02FBD48C" w14:textId="77777777" w:rsidR="00E86304" w:rsidRDefault="00E86304" w:rsidP="00E86304">
      <w:pPr>
        <w:pStyle w:val="Head3"/>
      </w:pPr>
      <w:bookmarkStart w:id="102" w:name="_Toc238117555"/>
      <w:r>
        <w:t>Rectification of disallowable legislative instruments</w:t>
      </w:r>
      <w:bookmarkEnd w:id="102"/>
    </w:p>
    <w:p w14:paraId="12159E08" w14:textId="77777777" w:rsidR="00E86304" w:rsidRDefault="00E86304" w:rsidP="00E86304">
      <w:pPr>
        <w:pStyle w:val="BodyNum"/>
      </w:pPr>
      <w:bookmarkStart w:id="103" w:name="_Ref2948989"/>
      <w:r>
        <w:t>If a disallowable legislative instrument is rectified after the original version was tabled, then the rectified instrument must be re</w:t>
      </w:r>
      <w:r>
        <w:noBreakHyphen/>
        <w:t xml:space="preserve">tabled in each House of the Parliament within 6 sitting days after the rectification </w:t>
      </w:r>
      <w:r w:rsidRPr="00FD274F">
        <w:t>(</w:t>
      </w:r>
      <w:hyperlink r:id="rId295" w:history="1">
        <w:r w:rsidRPr="005633BF">
          <w:rPr>
            <w:rStyle w:val="Hyperlink"/>
          </w:rPr>
          <w:t>LA</w:t>
        </w:r>
      </w:hyperlink>
      <w:r w:rsidRPr="005633BF">
        <w:rPr>
          <w:rStyle w:val="Hyperlink"/>
        </w:rPr>
        <w:t xml:space="preserve"> </w:t>
      </w:r>
      <w:r w:rsidRPr="005633BF">
        <w:t>s 15DA(2)).</w:t>
      </w:r>
      <w:bookmarkEnd w:id="103"/>
    </w:p>
    <w:p w14:paraId="625C61F6" w14:textId="77777777" w:rsidR="00E86304" w:rsidRDefault="00E86304" w:rsidP="00E86304">
      <w:pPr>
        <w:pStyle w:val="BodyNum"/>
      </w:pPr>
      <w:bookmarkStart w:id="104" w:name="_Ref2949471"/>
      <w:r>
        <w:t>If the disallowable legislative instrument has already been disallowed in full by a House of the Parliament, then the re</w:t>
      </w:r>
      <w:r>
        <w:noBreakHyphen/>
        <w:t>tabled instrument is not subject to a new disallowance perio</w:t>
      </w:r>
      <w:r w:rsidRPr="005633BF">
        <w:t>d (</w:t>
      </w:r>
      <w:hyperlink r:id="rId296" w:history="1">
        <w:r w:rsidRPr="005633BF">
          <w:rPr>
            <w:rStyle w:val="Hyperlink"/>
          </w:rPr>
          <w:t>LA</w:t>
        </w:r>
      </w:hyperlink>
      <w:r w:rsidRPr="005633BF">
        <w:rPr>
          <w:rStyle w:val="Hyperlink"/>
        </w:rPr>
        <w:t xml:space="preserve"> </w:t>
      </w:r>
      <w:r w:rsidRPr="005633BF">
        <w:t>s 15DA(4)). I</w:t>
      </w:r>
      <w:r>
        <w:t>n all other cases, a rectified disallowable legislative instrument extends or starts a new disallowance peri</w:t>
      </w:r>
      <w:r w:rsidRPr="005633BF">
        <w:t>od (</w:t>
      </w:r>
      <w:hyperlink r:id="rId297" w:history="1">
        <w:r w:rsidRPr="005633BF">
          <w:rPr>
            <w:rStyle w:val="Hyperlink"/>
          </w:rPr>
          <w:t>LA</w:t>
        </w:r>
      </w:hyperlink>
      <w:r w:rsidRPr="005633BF">
        <w:rPr>
          <w:rStyle w:val="Hyperlink"/>
        </w:rPr>
        <w:t xml:space="preserve"> </w:t>
      </w:r>
      <w:r w:rsidRPr="005633BF">
        <w:t>s 15DA(3</w:t>
      </w:r>
      <w:r w:rsidRPr="00FD274F">
        <w:t>)</w:t>
      </w:r>
      <w:r>
        <w:t>).</w:t>
      </w:r>
      <w:bookmarkEnd w:id="104"/>
    </w:p>
    <w:p w14:paraId="0D270F09" w14:textId="77777777" w:rsidR="00E86304" w:rsidRDefault="00E86304" w:rsidP="00E86304">
      <w:pPr>
        <w:pStyle w:val="BodyNum"/>
      </w:pPr>
      <w:bookmarkStart w:id="105" w:name="_Ref2949476"/>
      <w:r>
        <w:t>The following table summarises the impact of rectification on parliamentary processes for disallowable legislative instruments.</w:t>
      </w:r>
      <w:bookmarkEnd w:id="105"/>
    </w:p>
    <w:p w14:paraId="2E7878A1" w14:textId="77777777" w:rsidR="00E86304" w:rsidRPr="00DF6481" w:rsidRDefault="00E86304" w:rsidP="00E86304"/>
    <w:tbl>
      <w:tblPr>
        <w:tblW w:w="0" w:type="auto"/>
        <w:tblInd w:w="113" w:type="dxa"/>
        <w:tblBorders>
          <w:top w:val="single" w:sz="4" w:space="0" w:color="auto"/>
          <w:bottom w:val="single" w:sz="2" w:space="0" w:color="auto"/>
          <w:insideH w:val="single" w:sz="4" w:space="0" w:color="auto"/>
        </w:tblBorders>
        <w:tblLayout w:type="fixed"/>
        <w:tblLook w:val="0000" w:firstRow="0" w:lastRow="0" w:firstColumn="0" w:lastColumn="0" w:noHBand="0" w:noVBand="0"/>
      </w:tblPr>
      <w:tblGrid>
        <w:gridCol w:w="4513"/>
        <w:gridCol w:w="4513"/>
      </w:tblGrid>
      <w:tr w:rsidR="00E86304" w:rsidRPr="00FD274F" w14:paraId="67702F11" w14:textId="77777777" w:rsidTr="00C11826">
        <w:trPr>
          <w:cantSplit/>
          <w:tblHeader/>
        </w:trPr>
        <w:tc>
          <w:tcPr>
            <w:tcW w:w="4513" w:type="dxa"/>
            <w:tcBorders>
              <w:top w:val="single" w:sz="12" w:space="0" w:color="auto"/>
              <w:bottom w:val="single" w:sz="12" w:space="0" w:color="auto"/>
            </w:tcBorders>
          </w:tcPr>
          <w:p w14:paraId="5EB88058" w14:textId="77777777" w:rsidR="00E86304" w:rsidRPr="00FD274F" w:rsidRDefault="00E86304" w:rsidP="00C11826">
            <w:pPr>
              <w:pStyle w:val="TableHeading"/>
            </w:pPr>
            <w:r w:rsidRPr="00526C3D">
              <w:t>Time of rectification</w:t>
            </w:r>
          </w:p>
        </w:tc>
        <w:tc>
          <w:tcPr>
            <w:tcW w:w="4513" w:type="dxa"/>
            <w:tcBorders>
              <w:top w:val="single" w:sz="12" w:space="0" w:color="auto"/>
              <w:bottom w:val="single" w:sz="12" w:space="0" w:color="auto"/>
            </w:tcBorders>
          </w:tcPr>
          <w:p w14:paraId="67209139" w14:textId="77777777" w:rsidR="00E86304" w:rsidRPr="00FD274F" w:rsidRDefault="00E86304" w:rsidP="00C11826">
            <w:pPr>
              <w:pStyle w:val="TableHeading"/>
            </w:pPr>
            <w:r>
              <w:t>Action</w:t>
            </w:r>
          </w:p>
        </w:tc>
      </w:tr>
      <w:tr w:rsidR="00E86304" w:rsidRPr="00FD274F" w14:paraId="02EA633B" w14:textId="77777777" w:rsidTr="00C11826">
        <w:trPr>
          <w:cantSplit/>
        </w:trPr>
        <w:tc>
          <w:tcPr>
            <w:tcW w:w="4513" w:type="dxa"/>
            <w:tcBorders>
              <w:top w:val="single" w:sz="12" w:space="0" w:color="auto"/>
            </w:tcBorders>
          </w:tcPr>
          <w:p w14:paraId="55CA8693" w14:textId="77777777" w:rsidR="00E86304" w:rsidRPr="00FD274F" w:rsidRDefault="00E86304" w:rsidP="00C11826">
            <w:pPr>
              <w:pStyle w:val="Tabletext"/>
            </w:pPr>
            <w:r>
              <w:t>The instrument is rectified before the original instrument has been tabled</w:t>
            </w:r>
          </w:p>
        </w:tc>
        <w:tc>
          <w:tcPr>
            <w:tcW w:w="4513" w:type="dxa"/>
            <w:tcBorders>
              <w:top w:val="single" w:sz="12" w:space="0" w:color="auto"/>
            </w:tcBorders>
          </w:tcPr>
          <w:p w14:paraId="5599A8B7" w14:textId="77777777" w:rsidR="00E86304" w:rsidRPr="00FD274F" w:rsidRDefault="00E86304" w:rsidP="00C11826">
            <w:pPr>
              <w:pStyle w:val="Tabletext"/>
            </w:pPr>
            <w:r>
              <w:t>The rectified instrument is tabled and normal parliamentary processes occur</w:t>
            </w:r>
          </w:p>
        </w:tc>
      </w:tr>
      <w:tr w:rsidR="00E86304" w:rsidRPr="00FD274F" w14:paraId="6FB252D9" w14:textId="77777777" w:rsidTr="00C11826">
        <w:trPr>
          <w:cantSplit/>
        </w:trPr>
        <w:tc>
          <w:tcPr>
            <w:tcW w:w="4513" w:type="dxa"/>
            <w:tcBorders>
              <w:bottom w:val="single" w:sz="4" w:space="0" w:color="auto"/>
            </w:tcBorders>
          </w:tcPr>
          <w:p w14:paraId="74ED6D60" w14:textId="77777777" w:rsidR="00E86304" w:rsidRPr="00FD274F" w:rsidRDefault="00E86304" w:rsidP="00C11826">
            <w:pPr>
              <w:pStyle w:val="Tabletext"/>
            </w:pPr>
            <w:r>
              <w:t>The instrument is rectified after the original instrument has been tabled and the disallowance period has begun but no motion to disallow is on foot</w:t>
            </w:r>
          </w:p>
        </w:tc>
        <w:tc>
          <w:tcPr>
            <w:tcW w:w="4513" w:type="dxa"/>
            <w:tcBorders>
              <w:bottom w:val="single" w:sz="4" w:space="0" w:color="auto"/>
            </w:tcBorders>
          </w:tcPr>
          <w:p w14:paraId="5389FCC1" w14:textId="77777777" w:rsidR="00E86304" w:rsidRPr="00FD274F" w:rsidRDefault="00E86304" w:rsidP="00C11826">
            <w:pPr>
              <w:pStyle w:val="Tabletext"/>
            </w:pPr>
            <w:r>
              <w:t>The rectified instrument is re</w:t>
            </w:r>
            <w:r>
              <w:noBreakHyphen/>
              <w:t>tabled and the disallowance period restarts (thereby extending) the disallowance period</w:t>
            </w:r>
          </w:p>
        </w:tc>
      </w:tr>
      <w:tr w:rsidR="00E86304" w:rsidRPr="00FD274F" w14:paraId="7864F78A" w14:textId="77777777" w:rsidTr="00C11826">
        <w:trPr>
          <w:cantSplit/>
        </w:trPr>
        <w:tc>
          <w:tcPr>
            <w:tcW w:w="4513" w:type="dxa"/>
          </w:tcPr>
          <w:p w14:paraId="27214DC3" w14:textId="77777777" w:rsidR="00E86304" w:rsidRDefault="00E86304" w:rsidP="00C11826">
            <w:pPr>
              <w:pStyle w:val="Tabletext"/>
            </w:pPr>
            <w:r>
              <w:lastRenderedPageBreak/>
              <w:t>The instrument is rectified after the original instrument has been tabled, the disallowance period has begun and notice of a motion to disallow is on foot</w:t>
            </w:r>
          </w:p>
        </w:tc>
        <w:tc>
          <w:tcPr>
            <w:tcW w:w="4513" w:type="dxa"/>
          </w:tcPr>
          <w:p w14:paraId="43B1004A" w14:textId="77777777" w:rsidR="00E86304" w:rsidRDefault="00E86304" w:rsidP="00C11826">
            <w:pPr>
              <w:pStyle w:val="Tabletext"/>
            </w:pPr>
            <w:r>
              <w:t>The rectified instrument is re</w:t>
            </w:r>
            <w:r>
              <w:noBreakHyphen/>
              <w:t>tabled and the disallowance period restarts (thereby extending) the disallowance period. The notice of motion is taken to have been given on the sitting day after the rectified instrument is tabled</w:t>
            </w:r>
          </w:p>
        </w:tc>
      </w:tr>
      <w:tr w:rsidR="00E86304" w:rsidRPr="00FD274F" w14:paraId="4CD4D989" w14:textId="77777777" w:rsidTr="00C11826">
        <w:trPr>
          <w:cantSplit/>
        </w:trPr>
        <w:tc>
          <w:tcPr>
            <w:tcW w:w="4513" w:type="dxa"/>
          </w:tcPr>
          <w:p w14:paraId="54794F1C" w14:textId="77777777" w:rsidR="00E86304" w:rsidRPr="00FD274F" w:rsidRDefault="00E86304" w:rsidP="00C11826">
            <w:pPr>
              <w:pStyle w:val="Tabletext"/>
            </w:pPr>
            <w:r>
              <w:t>The instrument is rectified after the original instrument has been tabled and the instrument has been disallowed in full</w:t>
            </w:r>
          </w:p>
        </w:tc>
        <w:tc>
          <w:tcPr>
            <w:tcW w:w="4513" w:type="dxa"/>
          </w:tcPr>
          <w:p w14:paraId="4CDCC741" w14:textId="77777777" w:rsidR="00E86304" w:rsidRPr="00FD274F" w:rsidRDefault="00E86304" w:rsidP="00C11826">
            <w:pPr>
              <w:pStyle w:val="Tabletext"/>
            </w:pPr>
            <w:r>
              <w:t>The rectified instrument is re</w:t>
            </w:r>
            <w:r>
              <w:noBreakHyphen/>
              <w:t>tabled but the disallowance period does not restart as the instrument has already been disallowed in full</w:t>
            </w:r>
          </w:p>
        </w:tc>
      </w:tr>
      <w:tr w:rsidR="00E86304" w:rsidRPr="00FD274F" w14:paraId="3462FFBD" w14:textId="77777777" w:rsidTr="00C11826">
        <w:trPr>
          <w:cantSplit/>
        </w:trPr>
        <w:tc>
          <w:tcPr>
            <w:tcW w:w="4513" w:type="dxa"/>
          </w:tcPr>
          <w:p w14:paraId="1CAA3D34" w14:textId="77777777" w:rsidR="00E86304" w:rsidRDefault="00E86304" w:rsidP="00C11826">
            <w:pPr>
              <w:pStyle w:val="Tabletext"/>
            </w:pPr>
            <w:r>
              <w:t>The instrument is rectified after the original instrument has been tabled, the disallowance period has begun and a motion to disallow the instrument in part has been passed</w:t>
            </w:r>
          </w:p>
        </w:tc>
        <w:tc>
          <w:tcPr>
            <w:tcW w:w="4513" w:type="dxa"/>
          </w:tcPr>
          <w:p w14:paraId="49FAC4F6" w14:textId="77777777" w:rsidR="00E86304" w:rsidRDefault="00E86304" w:rsidP="00C11826">
            <w:pPr>
              <w:pStyle w:val="Tabletext"/>
            </w:pPr>
            <w:r>
              <w:t>The rectified instrument is re</w:t>
            </w:r>
            <w:r>
              <w:noBreakHyphen/>
              <w:t>tabled and the disallowance period restarts for the provisions of the instrument that have not already been disallowed</w:t>
            </w:r>
          </w:p>
        </w:tc>
      </w:tr>
      <w:tr w:rsidR="00E86304" w:rsidRPr="00FD274F" w14:paraId="043A1333" w14:textId="77777777" w:rsidTr="00C11826">
        <w:trPr>
          <w:cantSplit/>
        </w:trPr>
        <w:tc>
          <w:tcPr>
            <w:tcW w:w="4513" w:type="dxa"/>
            <w:tcBorders>
              <w:bottom w:val="single" w:sz="12" w:space="0" w:color="auto"/>
            </w:tcBorders>
          </w:tcPr>
          <w:p w14:paraId="54F9BE7D" w14:textId="77777777" w:rsidR="00E86304" w:rsidRDefault="00E86304" w:rsidP="00C11826">
            <w:pPr>
              <w:pStyle w:val="Tabletext"/>
            </w:pPr>
            <w:r>
              <w:t>The instrument is rectified after the original instrument has been tabled, the original disallowance period has ended and for solely amending or repealing instruments or provisions, s</w:t>
            </w:r>
            <w:r w:rsidRPr="005633BF">
              <w:t>ection 48A or 48C of the LA has ope</w:t>
            </w:r>
            <w:r>
              <w:t>rated and automatically repealed the instrument or provisions of the instrument</w:t>
            </w:r>
          </w:p>
        </w:tc>
        <w:tc>
          <w:tcPr>
            <w:tcW w:w="4513" w:type="dxa"/>
            <w:tcBorders>
              <w:bottom w:val="single" w:sz="12" w:space="0" w:color="auto"/>
            </w:tcBorders>
          </w:tcPr>
          <w:p w14:paraId="0C0DB088" w14:textId="77777777" w:rsidR="00E86304" w:rsidRDefault="00E86304" w:rsidP="00C11826">
            <w:pPr>
              <w:pStyle w:val="Tabletext"/>
            </w:pPr>
            <w:r>
              <w:t>The rectified instrument is re</w:t>
            </w:r>
            <w:r>
              <w:noBreakHyphen/>
              <w:t>tabled, the automatic repeal of the instrument or provisions of the instrument under s</w:t>
            </w:r>
            <w:r w:rsidRPr="005633BF">
              <w:t>ections 48A or 48C of the LA i</w:t>
            </w:r>
            <w:r>
              <w:t>s taken not to have occurred and a new disallowance period begins</w:t>
            </w:r>
          </w:p>
        </w:tc>
      </w:tr>
    </w:tbl>
    <w:p w14:paraId="42FF2B13" w14:textId="77777777" w:rsidR="00E86304" w:rsidRPr="00FD274F" w:rsidRDefault="00E86304" w:rsidP="00E86304">
      <w:pPr>
        <w:pStyle w:val="Head3"/>
      </w:pPr>
      <w:bookmarkStart w:id="106" w:name="_Toc238117556"/>
      <w:r w:rsidRPr="00FD274F">
        <w:t>Scope for redaction or removal of registered documents</w:t>
      </w:r>
      <w:bookmarkEnd w:id="106"/>
    </w:p>
    <w:p w14:paraId="52243D6F" w14:textId="77777777" w:rsidR="00E86304" w:rsidRPr="008D21D5" w:rsidRDefault="00E86304" w:rsidP="00E86304">
      <w:pPr>
        <w:pStyle w:val="BodyNum"/>
        <w:rPr>
          <w:rStyle w:val="Hyperlink"/>
          <w:color w:val="auto"/>
        </w:rPr>
      </w:pPr>
      <w:bookmarkStart w:id="107" w:name="_Ref435529190"/>
      <w:r>
        <w:t xml:space="preserve">There is limited scope for redaction (blacking out) of content on the Register. Section 15 of the </w:t>
      </w:r>
      <w:hyperlink r:id="rId298" w:history="1">
        <w:r w:rsidRPr="00001937">
          <w:rPr>
            <w:rStyle w:val="Hyperlink"/>
          </w:rPr>
          <w:t>LR</w:t>
        </w:r>
      </w:hyperlink>
      <w:r w:rsidRPr="009B5976">
        <w:rPr>
          <w:rStyle w:val="Hyperlink"/>
          <w:color w:val="auto"/>
          <w:spacing w:val="-6"/>
        </w:rPr>
        <w:t xml:space="preserve"> provides that</w:t>
      </w:r>
      <w:r>
        <w:rPr>
          <w:rStyle w:val="Hyperlink"/>
          <w:color w:val="auto"/>
          <w:spacing w:val="-6"/>
        </w:rPr>
        <w:t xml:space="preserve"> the</w:t>
      </w:r>
      <w:r w:rsidRPr="009B5976">
        <w:rPr>
          <w:rStyle w:val="Hyperlink"/>
          <w:color w:val="auto"/>
          <w:spacing w:val="-6"/>
        </w:rPr>
        <w:t xml:space="preserve"> First Parliamentary Counsel may redact personal information (within the meaning of the </w:t>
      </w:r>
      <w:hyperlink r:id="rId299" w:history="1">
        <w:r w:rsidRPr="002E3F8C">
          <w:rPr>
            <w:rStyle w:val="Hyperlink"/>
            <w:i/>
          </w:rPr>
          <w:t>Privacy Act 1988</w:t>
        </w:r>
      </w:hyperlink>
      <w:r w:rsidRPr="006B2FE8">
        <w:rPr>
          <w:rStyle w:val="Hyperlink"/>
          <w:color w:val="auto"/>
          <w:spacing w:val="-6"/>
        </w:rPr>
        <w:t>) from a document on the Register, other than a</w:t>
      </w:r>
      <w:r>
        <w:rPr>
          <w:rStyle w:val="Hyperlink"/>
          <w:color w:val="auto"/>
          <w:spacing w:val="-6"/>
        </w:rPr>
        <w:t>n Act, a</w:t>
      </w:r>
      <w:r w:rsidRPr="006B2FE8">
        <w:rPr>
          <w:rStyle w:val="Hyperlink"/>
          <w:color w:val="auto"/>
          <w:spacing w:val="-6"/>
        </w:rPr>
        <w:t xml:space="preserve"> legislative </w:t>
      </w:r>
      <w:r>
        <w:rPr>
          <w:rStyle w:val="Hyperlink"/>
          <w:color w:val="auto"/>
          <w:spacing w:val="-6"/>
        </w:rPr>
        <w:t xml:space="preserve">instrument </w:t>
      </w:r>
      <w:r w:rsidRPr="006B2FE8">
        <w:rPr>
          <w:rStyle w:val="Hyperlink"/>
          <w:color w:val="auto"/>
          <w:spacing w:val="-6"/>
        </w:rPr>
        <w:t>or</w:t>
      </w:r>
      <w:r>
        <w:rPr>
          <w:rStyle w:val="Hyperlink"/>
          <w:color w:val="auto"/>
          <w:spacing w:val="-6"/>
        </w:rPr>
        <w:t xml:space="preserve"> a</w:t>
      </w:r>
      <w:r w:rsidRPr="006B2FE8">
        <w:rPr>
          <w:rStyle w:val="Hyperlink"/>
          <w:color w:val="auto"/>
          <w:spacing w:val="-6"/>
        </w:rPr>
        <w:t xml:space="preserve"> notifiable instrument.</w:t>
      </w:r>
    </w:p>
    <w:p w14:paraId="5355BABE" w14:textId="77777777" w:rsidR="00E86304" w:rsidRDefault="00E86304" w:rsidP="00E86304">
      <w:pPr>
        <w:pStyle w:val="BodyNum"/>
        <w:rPr>
          <w:rStyle w:val="Hyperlink"/>
          <w:color w:val="auto"/>
        </w:rPr>
      </w:pPr>
      <w:r>
        <w:rPr>
          <w:rStyle w:val="Hyperlink"/>
          <w:color w:val="auto"/>
        </w:rPr>
        <w:t xml:space="preserve">Neither the </w:t>
      </w:r>
      <w:hyperlink r:id="rId300" w:history="1">
        <w:r w:rsidRPr="005633BF">
          <w:rPr>
            <w:rStyle w:val="Hyperlink"/>
          </w:rPr>
          <w:t>LA</w:t>
        </w:r>
      </w:hyperlink>
      <w:r>
        <w:rPr>
          <w:rStyle w:val="Hyperlink"/>
        </w:rPr>
        <w:t xml:space="preserve"> </w:t>
      </w:r>
      <w:r>
        <w:rPr>
          <w:rStyle w:val="Hyperlink"/>
          <w:color w:val="auto"/>
        </w:rPr>
        <w:t xml:space="preserve">nor the </w:t>
      </w:r>
      <w:hyperlink r:id="rId301" w:history="1">
        <w:r w:rsidRPr="00001937">
          <w:rPr>
            <w:rStyle w:val="Hyperlink"/>
          </w:rPr>
          <w:t>LR</w:t>
        </w:r>
      </w:hyperlink>
      <w:r>
        <w:rPr>
          <w:rStyle w:val="Hyperlink"/>
          <w:color w:val="auto"/>
        </w:rPr>
        <w:t xml:space="preserve"> make provision for the removal of any document that is required to be registered, so it is important that any material lodged for registration is appropriate for public access.</w:t>
      </w:r>
    </w:p>
    <w:p w14:paraId="1AE9E8B0" w14:textId="77777777" w:rsidR="00E86304" w:rsidRPr="00FD274F" w:rsidRDefault="00E86304" w:rsidP="00E86304">
      <w:pPr>
        <w:pStyle w:val="BodyNum"/>
      </w:pPr>
      <w:bookmarkStart w:id="108" w:name="_Ref184283856"/>
      <w:r w:rsidRPr="00FD274F">
        <w:t xml:space="preserve">If your agency has </w:t>
      </w:r>
      <w:r>
        <w:t xml:space="preserve">any </w:t>
      </w:r>
      <w:r w:rsidRPr="00FD274F">
        <w:t xml:space="preserve">concerns about the content of a registered document, please contact </w:t>
      </w:r>
      <w:proofErr w:type="spellStart"/>
      <w:r w:rsidRPr="00FD274F">
        <w:t>OPC</w:t>
      </w:r>
      <w:proofErr w:type="spellEnd"/>
      <w:r w:rsidRPr="00FD274F">
        <w:t xml:space="preserve"> (</w:t>
      </w:r>
      <w:hyperlink r:id="rId302" w:history="1">
        <w:hyperlink r:id="rId303" w:history="1">
          <w:r w:rsidRPr="00FD274F">
            <w:rPr>
              <w:rStyle w:val="Hyperlink"/>
              <w:rFonts w:eastAsiaTheme="minorHAnsi"/>
              <w:szCs w:val="24"/>
              <w:lang w:eastAsia="en-US"/>
            </w:rPr>
            <w:t>lodge@legislation.gov.au</w:t>
          </w:r>
        </w:hyperlink>
      </w:hyperlink>
      <w:r>
        <w:rPr>
          <w:rStyle w:val="Hyperlink"/>
          <w:rFonts w:eastAsiaTheme="minorHAnsi"/>
          <w:szCs w:val="24"/>
          <w:lang w:eastAsia="en-US"/>
        </w:rPr>
        <w:t xml:space="preserve"> </w:t>
      </w:r>
      <w:r w:rsidRPr="00FD274F">
        <w:rPr>
          <w:color w:val="000000"/>
          <w:spacing w:val="-2"/>
          <w:szCs w:val="24"/>
        </w:rPr>
        <w:t xml:space="preserve">or (02) </w:t>
      </w:r>
      <w:r w:rsidRPr="00FD274F">
        <w:rPr>
          <w:spacing w:val="-2"/>
          <w:szCs w:val="24"/>
        </w:rPr>
        <w:t>6120 1350</w:t>
      </w:r>
      <w:r>
        <w:rPr>
          <w:szCs w:val="24"/>
        </w:rPr>
        <w:t xml:space="preserve">) </w:t>
      </w:r>
      <w:r w:rsidRPr="00FD274F">
        <w:t>to discuss the issues and options. It may be possible, for example, to clarify the status of an instrument by adding information or documents such as a court judgement.</w:t>
      </w:r>
      <w:bookmarkEnd w:id="108"/>
    </w:p>
    <w:p w14:paraId="1A905D5D" w14:textId="77777777" w:rsidR="00E86304" w:rsidRPr="00FD274F" w:rsidRDefault="00E86304" w:rsidP="00E86304">
      <w:pPr>
        <w:pStyle w:val="Head3"/>
      </w:pPr>
      <w:bookmarkStart w:id="109" w:name="_Toc238117557"/>
      <w:bookmarkEnd w:id="107"/>
      <w:r w:rsidRPr="00FD274F">
        <w:t>Scope for re</w:t>
      </w:r>
      <w:r>
        <w:t>moval of reviewing comments</w:t>
      </w:r>
      <w:bookmarkEnd w:id="109"/>
    </w:p>
    <w:p w14:paraId="2F5A7FD2" w14:textId="77777777" w:rsidR="00E86304" w:rsidRPr="00CA6864" w:rsidRDefault="00E86304" w:rsidP="00E86304">
      <w:pPr>
        <w:pStyle w:val="BodyNum"/>
        <w:rPr>
          <w:rStyle w:val="Hyperlink"/>
          <w:color w:val="auto"/>
        </w:rPr>
      </w:pPr>
      <w:r>
        <w:t xml:space="preserve">There is scope for the removal of reviewing comments on the Register. Section 16 of the </w:t>
      </w:r>
      <w:hyperlink r:id="rId304" w:history="1">
        <w:r w:rsidRPr="00001937">
          <w:rPr>
            <w:rStyle w:val="Hyperlink"/>
          </w:rPr>
          <w:t>LR</w:t>
        </w:r>
      </w:hyperlink>
      <w:r w:rsidRPr="009B5976">
        <w:rPr>
          <w:rStyle w:val="Hyperlink"/>
          <w:color w:val="auto"/>
          <w:spacing w:val="-6"/>
        </w:rPr>
        <w:t xml:space="preserve"> provides that </w:t>
      </w:r>
      <w:r>
        <w:rPr>
          <w:rStyle w:val="Hyperlink"/>
          <w:color w:val="auto"/>
          <w:spacing w:val="-6"/>
        </w:rPr>
        <w:t xml:space="preserve">the </w:t>
      </w:r>
      <w:r w:rsidRPr="009B5976">
        <w:rPr>
          <w:rStyle w:val="Hyperlink"/>
          <w:color w:val="auto"/>
          <w:spacing w:val="-6"/>
        </w:rPr>
        <w:t xml:space="preserve">First Parliamentary Counsel </w:t>
      </w:r>
      <w:r w:rsidRPr="00E8679D">
        <w:t>may remove any reviewing comments from a document on the Register (other than an Act, a legislative instrument or a notifiable instrument) if the First Parliamentary Counsel is satisfied that the inclusion of the comments in the document is an error.</w:t>
      </w:r>
      <w:r>
        <w:t xml:space="preserve"> Prior to removal, the First Parliamentary Counsel </w:t>
      </w:r>
      <w:r w:rsidRPr="00CA6864">
        <w:rPr>
          <w:szCs w:val="24"/>
        </w:rPr>
        <w:t>will consult with the rule-maker to be satisfied that the inclusion was in error and without legal effect.</w:t>
      </w:r>
    </w:p>
    <w:p w14:paraId="3DE65642" w14:textId="77777777" w:rsidR="00E86304" w:rsidRPr="00FD274F" w:rsidRDefault="00E86304" w:rsidP="00E86304">
      <w:pPr>
        <w:pStyle w:val="Head3"/>
      </w:pPr>
      <w:bookmarkStart w:id="110" w:name="_Toc238117558"/>
      <w:r w:rsidRPr="00FD274F">
        <w:t>Scope for republication of registered content</w:t>
      </w:r>
      <w:bookmarkEnd w:id="110"/>
    </w:p>
    <w:p w14:paraId="4887F9F1" w14:textId="77777777" w:rsidR="00E86304" w:rsidRPr="00FD274F" w:rsidRDefault="00E86304" w:rsidP="00E86304">
      <w:pPr>
        <w:pStyle w:val="BodyNum"/>
      </w:pPr>
      <w:bookmarkStart w:id="111" w:name="_Ref441250050"/>
      <w:bookmarkStart w:id="112" w:name="_Ref422933070"/>
      <w:bookmarkStart w:id="113" w:name="_Ref422907436"/>
      <w:r w:rsidRPr="00FD274F">
        <w:t>It is possible to make authorised versions of registered documents from the PDF files published on the Register (</w:t>
      </w:r>
      <w:hyperlink r:id="rId305" w:history="1">
        <w:r w:rsidRPr="00001937">
          <w:rPr>
            <w:rStyle w:val="Hyperlink"/>
          </w:rPr>
          <w:t>LR</w:t>
        </w:r>
      </w:hyperlink>
      <w:r w:rsidRPr="0049119D">
        <w:t xml:space="preserve"> s </w:t>
      </w:r>
      <w:r>
        <w:t>18</w:t>
      </w:r>
      <w:r w:rsidRPr="0049119D">
        <w:t>(1)). The</w:t>
      </w:r>
      <w:r w:rsidRPr="00FD274F">
        <w:t xml:space="preserve"> electronic version, and any print version that is </w:t>
      </w:r>
      <w:r w:rsidRPr="00FD274F">
        <w:lastRenderedPageBreak/>
        <w:t xml:space="preserve">made from it, must also contain a specific phrase, such as “Authorised version” as used from March 2016. For a complete list of specified phrases, see </w:t>
      </w:r>
      <w:r w:rsidRPr="0049119D">
        <w:t>subsection 1</w:t>
      </w:r>
      <w:r>
        <w:t>8</w:t>
      </w:r>
      <w:r w:rsidRPr="0049119D">
        <w:t xml:space="preserve">(2) of the </w:t>
      </w:r>
      <w:hyperlink r:id="rId306" w:history="1">
        <w:r w:rsidRPr="009D7738">
          <w:rPr>
            <w:rStyle w:val="Hyperlink"/>
          </w:rPr>
          <w:t>LR</w:t>
        </w:r>
      </w:hyperlink>
      <w:r w:rsidRPr="0049119D">
        <w:t>.</w:t>
      </w:r>
      <w:bookmarkEnd w:id="111"/>
    </w:p>
    <w:p w14:paraId="238C75D5" w14:textId="77777777" w:rsidR="00E86304" w:rsidRPr="00FD274F" w:rsidRDefault="00E86304" w:rsidP="00E86304">
      <w:pPr>
        <w:pStyle w:val="BodyNum"/>
      </w:pPr>
      <w:bookmarkStart w:id="114" w:name="_Ref474413213"/>
      <w:r w:rsidRPr="00FD274F">
        <w:t xml:space="preserve">Wholesale or commercial reproduction of registered content is subject to the </w:t>
      </w:r>
      <w:hyperlink r:id="rId307" w:history="1">
        <w:r w:rsidRPr="0049119D">
          <w:rPr>
            <w:rStyle w:val="Hyperlink"/>
            <w:i/>
          </w:rPr>
          <w:t>Copyright Act 1968</w:t>
        </w:r>
      </w:hyperlink>
      <w:r w:rsidRPr="0049119D">
        <w:t>,</w:t>
      </w:r>
      <w:r w:rsidRPr="00FD274F">
        <w:t xml:space="preserve"> other relevant laws and the relevant Creative Commons licence. However, there are still some restrictions on </w:t>
      </w:r>
      <w:r>
        <w:t xml:space="preserve">the </w:t>
      </w:r>
      <w:r w:rsidRPr="00FD274F">
        <w:t xml:space="preserve">use of some content (such as the Commonwealth coat of arms). Please refer to the </w:t>
      </w:r>
      <w:hyperlink r:id="rId308" w:history="1">
        <w:r w:rsidRPr="0049119D">
          <w:rPr>
            <w:rStyle w:val="Hyperlink"/>
          </w:rPr>
          <w:t xml:space="preserve">copyright notice on the Register website </w:t>
        </w:r>
      </w:hyperlink>
      <w:bookmarkEnd w:id="112"/>
      <w:r w:rsidRPr="0049119D">
        <w:t>f</w:t>
      </w:r>
      <w:r w:rsidRPr="00FD274F">
        <w:t>or details.</w:t>
      </w:r>
      <w:bookmarkEnd w:id="114"/>
    </w:p>
    <w:p w14:paraId="5E9139B4" w14:textId="77777777" w:rsidR="00E86304" w:rsidRPr="00FD274F" w:rsidRDefault="00E86304" w:rsidP="00E86304">
      <w:pPr>
        <w:pStyle w:val="BodyNum"/>
      </w:pPr>
      <w:bookmarkStart w:id="115" w:name="_Ref444779699"/>
      <w:r w:rsidRPr="00FD274F">
        <w:t>Agencies wishing to reproduce registered co</w:t>
      </w:r>
      <w:r>
        <w:t xml:space="preserve">ntent should also be aware that this </w:t>
      </w:r>
      <w:r w:rsidRPr="00FD274F">
        <w:t xml:space="preserve">has inherent risks </w:t>
      </w:r>
      <w:r>
        <w:t>as</w:t>
      </w:r>
      <w:r w:rsidRPr="00FD274F">
        <w:t xml:space="preserve"> the law is subject to change</w:t>
      </w:r>
      <w:r>
        <w:t>. In particular, f</w:t>
      </w:r>
      <w:r w:rsidRPr="00FD274F">
        <w:t>ailure to keep agency websites up</w:t>
      </w:r>
      <w:r>
        <w:t xml:space="preserve"> </w:t>
      </w:r>
      <w:r w:rsidRPr="00FD274F">
        <w:t>to</w:t>
      </w:r>
      <w:r>
        <w:t xml:space="preserve"> </w:t>
      </w:r>
      <w:r w:rsidRPr="00FD274F">
        <w:t xml:space="preserve">date may </w:t>
      </w:r>
      <w:bookmarkEnd w:id="113"/>
      <w:r w:rsidRPr="00FD274F">
        <w:t>raise questions of legal liability. It may, therefore, be better to provide simple links to relevant content on the Register. This can be done</w:t>
      </w:r>
      <w:r>
        <w:t xml:space="preserve"> using the link format in the following table:</w:t>
      </w:r>
      <w:bookmarkEnd w:id="115"/>
      <w:r w:rsidRPr="00FD274F">
        <w:br/>
      </w:r>
    </w:p>
    <w:tbl>
      <w:tblPr>
        <w:tblW w:w="0" w:type="auto"/>
        <w:tblInd w:w="113" w:type="dxa"/>
        <w:tblBorders>
          <w:top w:val="single" w:sz="4" w:space="0" w:color="auto"/>
          <w:bottom w:val="single" w:sz="2" w:space="0" w:color="auto"/>
          <w:insideH w:val="single" w:sz="4" w:space="0" w:color="auto"/>
        </w:tblBorders>
        <w:tblLayout w:type="fixed"/>
        <w:tblLook w:val="0000" w:firstRow="0" w:lastRow="0" w:firstColumn="0" w:lastColumn="0" w:noHBand="0" w:noVBand="0"/>
      </w:tblPr>
      <w:tblGrid>
        <w:gridCol w:w="4513"/>
        <w:gridCol w:w="4513"/>
      </w:tblGrid>
      <w:tr w:rsidR="00E86304" w:rsidRPr="00FD274F" w14:paraId="073F08D6" w14:textId="77777777" w:rsidTr="00C11826">
        <w:trPr>
          <w:tblHeader/>
        </w:trPr>
        <w:tc>
          <w:tcPr>
            <w:tcW w:w="4513" w:type="dxa"/>
            <w:tcBorders>
              <w:top w:val="single" w:sz="12" w:space="0" w:color="auto"/>
              <w:bottom w:val="single" w:sz="12" w:space="0" w:color="auto"/>
            </w:tcBorders>
          </w:tcPr>
          <w:p w14:paraId="045F999E" w14:textId="77777777" w:rsidR="00E86304" w:rsidRPr="00FD274F" w:rsidRDefault="00E86304" w:rsidP="00C11826">
            <w:pPr>
              <w:pStyle w:val="TableHeading"/>
            </w:pPr>
            <w:r w:rsidRPr="00FD274F">
              <w:t>Use this link format</w:t>
            </w:r>
          </w:p>
        </w:tc>
        <w:tc>
          <w:tcPr>
            <w:tcW w:w="4513" w:type="dxa"/>
            <w:tcBorders>
              <w:top w:val="single" w:sz="12" w:space="0" w:color="auto"/>
              <w:bottom w:val="single" w:sz="12" w:space="0" w:color="auto"/>
            </w:tcBorders>
          </w:tcPr>
          <w:p w14:paraId="6294F31A" w14:textId="77777777" w:rsidR="00E86304" w:rsidRPr="00FD274F" w:rsidRDefault="00E86304" w:rsidP="00C11826">
            <w:pPr>
              <w:pStyle w:val="TableHeading"/>
            </w:pPr>
            <w:r>
              <w:t>To link users to</w:t>
            </w:r>
          </w:p>
        </w:tc>
      </w:tr>
      <w:tr w:rsidR="00E86304" w:rsidRPr="00FD274F" w14:paraId="419F09EC" w14:textId="77777777" w:rsidTr="00C11826">
        <w:tc>
          <w:tcPr>
            <w:tcW w:w="4513" w:type="dxa"/>
            <w:tcBorders>
              <w:top w:val="single" w:sz="12" w:space="0" w:color="auto"/>
            </w:tcBorders>
          </w:tcPr>
          <w:p w14:paraId="1842ABCC" w14:textId="77777777" w:rsidR="00E86304" w:rsidRPr="00FD274F" w:rsidRDefault="00E86304" w:rsidP="00C11826">
            <w:pPr>
              <w:pStyle w:val="Tabletext"/>
            </w:pPr>
            <w:r w:rsidRPr="00FD274F">
              <w:t>www.legislation.gov.au/</w:t>
            </w:r>
            <w:r>
              <w:t>[Title ID]/</w:t>
            </w:r>
            <w:proofErr w:type="spellStart"/>
            <w:r>
              <w:t>yyyy</w:t>
            </w:r>
            <w:proofErr w:type="spellEnd"/>
            <w:r>
              <w:t>-mm-dd/text</w:t>
            </w:r>
          </w:p>
        </w:tc>
        <w:tc>
          <w:tcPr>
            <w:tcW w:w="4513" w:type="dxa"/>
            <w:tcBorders>
              <w:top w:val="single" w:sz="12" w:space="0" w:color="auto"/>
            </w:tcBorders>
          </w:tcPr>
          <w:p w14:paraId="50C57179" w14:textId="77777777" w:rsidR="00E86304" w:rsidRPr="00FD274F" w:rsidRDefault="00E86304" w:rsidP="00C11826">
            <w:pPr>
              <w:pStyle w:val="Tabletext"/>
            </w:pPr>
            <w:r>
              <w:t xml:space="preserve">that point in time version of a </w:t>
            </w:r>
            <w:r w:rsidRPr="00FD274F">
              <w:t>law—not recommended unless the intent is to link to a historic version</w:t>
            </w:r>
          </w:p>
        </w:tc>
      </w:tr>
      <w:tr w:rsidR="00E86304" w:rsidRPr="00FD274F" w14:paraId="5EC47AA0" w14:textId="77777777" w:rsidTr="00C11826">
        <w:tc>
          <w:tcPr>
            <w:tcW w:w="4513" w:type="dxa"/>
            <w:tcBorders>
              <w:bottom w:val="single" w:sz="4" w:space="0" w:color="auto"/>
            </w:tcBorders>
          </w:tcPr>
          <w:p w14:paraId="0D4C69D8" w14:textId="77777777" w:rsidR="00E86304" w:rsidRPr="00FD274F" w:rsidRDefault="00E86304" w:rsidP="00C11826">
            <w:pPr>
              <w:pStyle w:val="Tabletext"/>
            </w:pPr>
            <w:r w:rsidRPr="00FD274F">
              <w:t>www.legislation.gov.au/</w:t>
            </w:r>
            <w:r>
              <w:t>[Title ID]/latest</w:t>
            </w:r>
          </w:p>
        </w:tc>
        <w:tc>
          <w:tcPr>
            <w:tcW w:w="4513" w:type="dxa"/>
            <w:tcBorders>
              <w:bottom w:val="single" w:sz="4" w:space="0" w:color="auto"/>
            </w:tcBorders>
          </w:tcPr>
          <w:p w14:paraId="47854568" w14:textId="77777777" w:rsidR="00E86304" w:rsidRPr="00FD274F" w:rsidRDefault="00E86304" w:rsidP="00C11826">
            <w:pPr>
              <w:pStyle w:val="Tabletext"/>
            </w:pPr>
            <w:r w:rsidRPr="00FD274F">
              <w:t>the latest version of a law</w:t>
            </w:r>
          </w:p>
        </w:tc>
      </w:tr>
      <w:tr w:rsidR="00E86304" w:rsidRPr="00FD274F" w14:paraId="23B3E67D" w14:textId="77777777" w:rsidTr="00C11826">
        <w:tc>
          <w:tcPr>
            <w:tcW w:w="4513" w:type="dxa"/>
            <w:tcBorders>
              <w:bottom w:val="single" w:sz="12" w:space="0" w:color="auto"/>
            </w:tcBorders>
          </w:tcPr>
          <w:p w14:paraId="32A12FC8" w14:textId="77777777" w:rsidR="00E86304" w:rsidRPr="00FD274F" w:rsidRDefault="00E86304" w:rsidP="00C11826">
            <w:pPr>
              <w:pStyle w:val="Tabletext"/>
            </w:pPr>
            <w:r w:rsidRPr="00FD274F">
              <w:t>www.legislation.gov.au/</w:t>
            </w:r>
            <w:r>
              <w:t>[Title ID]/latest/versions</w:t>
            </w:r>
          </w:p>
        </w:tc>
        <w:tc>
          <w:tcPr>
            <w:tcW w:w="4513" w:type="dxa"/>
            <w:tcBorders>
              <w:bottom w:val="single" w:sz="12" w:space="0" w:color="auto"/>
            </w:tcBorders>
          </w:tcPr>
          <w:p w14:paraId="6CB2D575" w14:textId="77777777" w:rsidR="00E86304" w:rsidRPr="00FD274F" w:rsidRDefault="00E86304" w:rsidP="00C11826">
            <w:pPr>
              <w:pStyle w:val="Tabletext"/>
            </w:pPr>
            <w:r w:rsidRPr="00FD274F">
              <w:t xml:space="preserve">the </w:t>
            </w:r>
            <w:r>
              <w:t>All versions</w:t>
            </w:r>
            <w:r w:rsidRPr="00FD274F">
              <w:t xml:space="preserve"> </w:t>
            </w:r>
            <w:r>
              <w:t>tab</w:t>
            </w:r>
            <w:r w:rsidRPr="00FD274F">
              <w:t>, which shows all available versions of a law</w:t>
            </w:r>
          </w:p>
        </w:tc>
      </w:tr>
    </w:tbl>
    <w:p w14:paraId="479DFBFD" w14:textId="77777777" w:rsidR="00E86304" w:rsidRPr="00FD274F" w:rsidRDefault="00E86304" w:rsidP="00E86304">
      <w:pPr>
        <w:pStyle w:val="noteToPara"/>
        <w:ind w:left="1429"/>
      </w:pPr>
      <w:bookmarkStart w:id="116" w:name="_Ref444792746"/>
      <w:r w:rsidRPr="00FD274F">
        <w:t>Note:</w:t>
      </w:r>
      <w:r w:rsidRPr="00FD274F">
        <w:tab/>
      </w:r>
      <w:r>
        <w:t xml:space="preserve">A Title ID is the ID given to the as made version of a title. For an instrument, it appears in the format of </w:t>
      </w:r>
      <w:proofErr w:type="spellStart"/>
      <w:r>
        <w:t>FYYYYLNNNNNN</w:t>
      </w:r>
      <w:proofErr w:type="spellEnd"/>
      <w:r>
        <w:t xml:space="preserve">. for example </w:t>
      </w:r>
      <w:r w:rsidRPr="00000846">
        <w:t>F2016L00229</w:t>
      </w:r>
      <w:r>
        <w:t>. The Title ID can be found on the Details tab for a title on the Register.</w:t>
      </w:r>
    </w:p>
    <w:p w14:paraId="12D8E3B1" w14:textId="77777777" w:rsidR="00E86304" w:rsidRDefault="00E86304" w:rsidP="00E86304">
      <w:pPr>
        <w:pStyle w:val="BodyNum"/>
      </w:pPr>
      <w:r>
        <w:t xml:space="preserve"> For more information about links, please refer to the </w:t>
      </w:r>
      <w:hyperlink r:id="rId309" w:history="1">
        <w:r w:rsidRPr="000D4CFA">
          <w:rPr>
            <w:rStyle w:val="Hyperlink"/>
          </w:rPr>
          <w:t>guidance on linking and downloads on the Register website</w:t>
        </w:r>
      </w:hyperlink>
      <w:r>
        <w:t>.</w:t>
      </w:r>
    </w:p>
    <w:p w14:paraId="25A3BB6B" w14:textId="77777777" w:rsidR="00E86304" w:rsidRPr="00FD274F" w:rsidRDefault="00E86304" w:rsidP="00E86304">
      <w:pPr>
        <w:pStyle w:val="BodyNum"/>
      </w:pPr>
      <w:bookmarkStart w:id="117" w:name="_Ref184283908"/>
      <w:r w:rsidRPr="00FD274F">
        <w:t xml:space="preserve">If an agency still wants or needs to reproduce registered content, it would be prudent to do so using the authorised version as described in </w:t>
      </w:r>
      <w:r w:rsidRPr="00507B09">
        <w:t xml:space="preserve">paragraph </w:t>
      </w:r>
      <w:r w:rsidRPr="005633BF">
        <w:fldChar w:fldCharType="begin"/>
      </w:r>
      <w:r w:rsidRPr="00507B09">
        <w:instrText xml:space="preserve"> REF _Ref441250050 \r \h  \* MERGEFORMAT </w:instrText>
      </w:r>
      <w:r w:rsidRPr="005633BF">
        <w:fldChar w:fldCharType="separate"/>
      </w:r>
      <w:r>
        <w:t>198</w:t>
      </w:r>
      <w:r w:rsidRPr="005633BF">
        <w:fldChar w:fldCharType="end"/>
      </w:r>
      <w:r w:rsidRPr="00507B09">
        <w:t>,</w:t>
      </w:r>
      <w:r w:rsidRPr="00FD274F">
        <w:t xml:space="preserve"> and also to include an </w:t>
      </w:r>
      <w:hyperlink r:id="rId310" w:history="1">
        <w:r w:rsidRPr="0049119D">
          <w:rPr>
            <w:rStyle w:val="Hyperlink"/>
          </w:rPr>
          <w:t>appropriate attribution</w:t>
        </w:r>
      </w:hyperlink>
      <w:r w:rsidRPr="0049119D">
        <w:t xml:space="preserve"> s</w:t>
      </w:r>
      <w:r w:rsidRPr="00FD274F">
        <w:t>o that users can easily check the Register for up</w:t>
      </w:r>
      <w:r>
        <w:noBreakHyphen/>
      </w:r>
      <w:r w:rsidRPr="00FD274F">
        <w:t>to</w:t>
      </w:r>
      <w:r>
        <w:noBreakHyphen/>
      </w:r>
      <w:r w:rsidRPr="00FD274F">
        <w:t>date information.</w:t>
      </w:r>
      <w:bookmarkEnd w:id="116"/>
      <w:bookmarkEnd w:id="117"/>
    </w:p>
    <w:p w14:paraId="1559C19A" w14:textId="77777777" w:rsidR="00E86304" w:rsidRPr="00FD274F" w:rsidRDefault="00E86304" w:rsidP="00E86304">
      <w:pPr>
        <w:pStyle w:val="BodyNum"/>
      </w:pPr>
      <w:r w:rsidRPr="00FD274F">
        <w:t>Agencies can also order bound print copies of registered documents online, by locating the relevant document on the Register and using the “Buy Print Copy” facility.</w:t>
      </w:r>
      <w:r>
        <w:t xml:space="preserve"> </w:t>
      </w:r>
      <w:r w:rsidRPr="00FD274F">
        <w:t xml:space="preserve">Please email </w:t>
      </w:r>
      <w:proofErr w:type="spellStart"/>
      <w:r w:rsidRPr="00FD274F">
        <w:t>OPC</w:t>
      </w:r>
      <w:proofErr w:type="spellEnd"/>
      <w:r w:rsidRPr="00FD274F">
        <w:t xml:space="preserve"> (</w:t>
      </w:r>
      <w:hyperlink r:id="rId311" w:history="1">
        <w:hyperlink r:id="rId312" w:history="1">
          <w:r w:rsidRPr="00FD274F">
            <w:rPr>
              <w:rStyle w:val="Hyperlink"/>
              <w:rFonts w:eastAsiaTheme="minorHAnsi"/>
              <w:szCs w:val="24"/>
              <w:lang w:eastAsia="en-US"/>
            </w:rPr>
            <w:t>lodge@legislation.gov.au</w:t>
          </w:r>
        </w:hyperlink>
      </w:hyperlink>
      <w:r>
        <w:rPr>
          <w:szCs w:val="24"/>
        </w:rPr>
        <w:t>)</w:t>
      </w:r>
      <w:r w:rsidRPr="00FD274F">
        <w:t xml:space="preserve"> if your agency would like </w:t>
      </w:r>
      <w:r>
        <w:t xml:space="preserve">to enquire about purchasing copies of </w:t>
      </w:r>
      <w:r w:rsidRPr="00FD274F">
        <w:t>legislati</w:t>
      </w:r>
      <w:r>
        <w:t>on that cannot be ordered online or has not commenced.</w:t>
      </w:r>
    </w:p>
    <w:p w14:paraId="2F650098" w14:textId="77777777" w:rsidR="00E86304" w:rsidRPr="00FD274F" w:rsidRDefault="00E86304" w:rsidP="00E86304">
      <w:pPr>
        <w:pStyle w:val="BodyNum"/>
      </w:pPr>
      <w:r w:rsidRPr="00FD274F">
        <w:t xml:space="preserve">If your agency receives a request about copyright of content that it has contributed to the Register, please review the </w:t>
      </w:r>
      <w:hyperlink r:id="rId313" w:history="1">
        <w:r w:rsidRPr="0049119D">
          <w:rPr>
            <w:rStyle w:val="Hyperlink"/>
          </w:rPr>
          <w:t>copyright permissions for the Register website</w:t>
        </w:r>
      </w:hyperlink>
      <w:r w:rsidRPr="0049119D">
        <w:t>.</w:t>
      </w:r>
      <w:r w:rsidRPr="00FD274F">
        <w:t xml:space="preserve"> It may be that no additional permission is required. Alternatively, if the request involves the issues identifie</w:t>
      </w:r>
      <w:r w:rsidRPr="00507B09">
        <w:t xml:space="preserve">d in paragraph </w:t>
      </w:r>
      <w:r>
        <w:fldChar w:fldCharType="begin"/>
      </w:r>
      <w:r>
        <w:instrText xml:space="preserve"> REF _Ref474413213 \r \h </w:instrText>
      </w:r>
      <w:r>
        <w:fldChar w:fldCharType="separate"/>
      </w:r>
      <w:r>
        <w:t>199</w:t>
      </w:r>
      <w:r>
        <w:fldChar w:fldCharType="end"/>
      </w:r>
      <w:r w:rsidRPr="00507B09">
        <w:t>, th</w:t>
      </w:r>
      <w:r w:rsidRPr="00FD274F">
        <w:t xml:space="preserve">e request may need </w:t>
      </w:r>
      <w:r>
        <w:t>to be referred to other bodies.</w:t>
      </w:r>
    </w:p>
    <w:p w14:paraId="50D4A447" w14:textId="77777777" w:rsidR="00E86304" w:rsidRPr="00FD274F" w:rsidRDefault="00E86304" w:rsidP="00E86304">
      <w:pPr>
        <w:pStyle w:val="Head3"/>
      </w:pPr>
      <w:bookmarkStart w:id="118" w:name="_Toc238117559"/>
      <w:r w:rsidRPr="00FD274F">
        <w:t>If an instrument is no longer required</w:t>
      </w:r>
      <w:bookmarkEnd w:id="118"/>
    </w:p>
    <w:p w14:paraId="08AF2890" w14:textId="77777777" w:rsidR="00E86304" w:rsidRPr="00FD274F" w:rsidRDefault="00E86304" w:rsidP="00E86304">
      <w:pPr>
        <w:pStyle w:val="BodyNum"/>
      </w:pPr>
      <w:bookmarkStart w:id="119" w:name="_Ref367446866"/>
      <w:r w:rsidRPr="00FD274F">
        <w:t>P</w:t>
      </w:r>
      <w:r w:rsidRPr="000D2500">
        <w:t xml:space="preserve">arts 3 and 4 of Chapter 3 of the </w:t>
      </w:r>
      <w:hyperlink r:id="rId314" w:history="1">
        <w:hyperlink r:id="rId315" w:history="1">
          <w:r w:rsidRPr="000D2500">
            <w:rPr>
              <w:rStyle w:val="Hyperlink"/>
            </w:rPr>
            <w:t>LA</w:t>
          </w:r>
        </w:hyperlink>
        <w:r w:rsidRPr="000D2500">
          <w:rPr>
            <w:rStyle w:val="Hyperlink"/>
          </w:rPr>
          <w:t xml:space="preserve"> </w:t>
        </w:r>
      </w:hyperlink>
      <w:r w:rsidRPr="000D2500">
        <w:t>e</w:t>
      </w:r>
      <w:r w:rsidRPr="00FD274F">
        <w:t>ncourage the timely repeal of instruments that are no longer required. An instrument that is repealed remains on permanent public record on the Register, but no longer displays as in force. An instrument may be repealed:</w:t>
      </w:r>
      <w:bookmarkEnd w:id="119"/>
    </w:p>
    <w:p w14:paraId="42B3DDF3" w14:textId="77777777" w:rsidR="00E86304" w:rsidRPr="00FD274F" w:rsidRDefault="00E86304" w:rsidP="00E86304">
      <w:pPr>
        <w:pStyle w:val="BodyPara"/>
        <w:rPr>
          <w:spacing w:val="-2"/>
        </w:rPr>
      </w:pPr>
      <w:r w:rsidRPr="00FD274F">
        <w:rPr>
          <w:spacing w:val="-2"/>
        </w:rPr>
        <w:lastRenderedPageBreak/>
        <w:t xml:space="preserve">by the automatic and bulk repeal provisions </w:t>
      </w:r>
      <w:r w:rsidRPr="000D2500">
        <w:rPr>
          <w:spacing w:val="-2"/>
        </w:rPr>
        <w:t xml:space="preserve">of Part 3 of Chapter 3 of the </w:t>
      </w:r>
      <w:hyperlink r:id="rId316" w:history="1">
        <w:r w:rsidRPr="000D2500">
          <w:rPr>
            <w:rStyle w:val="Hyperlink"/>
          </w:rPr>
          <w:t>LA</w:t>
        </w:r>
      </w:hyperlink>
      <w:r w:rsidRPr="000D2500">
        <w:rPr>
          <w:spacing w:val="-2"/>
        </w:rPr>
        <w:t>; o</w:t>
      </w:r>
      <w:r w:rsidRPr="00FD274F">
        <w:rPr>
          <w:spacing w:val="-2"/>
        </w:rPr>
        <w:t>r</w:t>
      </w:r>
    </w:p>
    <w:p w14:paraId="0956919E" w14:textId="77777777" w:rsidR="00E86304" w:rsidRPr="00FD274F" w:rsidRDefault="00E86304" w:rsidP="00E86304">
      <w:pPr>
        <w:pStyle w:val="BodyPara"/>
        <w:rPr>
          <w:spacing w:val="-2"/>
        </w:rPr>
      </w:pPr>
      <w:r w:rsidRPr="00FD274F">
        <w:rPr>
          <w:spacing w:val="-2"/>
        </w:rPr>
        <w:t>by the rule</w:t>
      </w:r>
      <w:r>
        <w:rPr>
          <w:spacing w:val="-2"/>
        </w:rPr>
        <w:noBreakHyphen/>
      </w:r>
      <w:r w:rsidRPr="00FD274F">
        <w:rPr>
          <w:spacing w:val="-2"/>
        </w:rPr>
        <w:t>maker; or</w:t>
      </w:r>
    </w:p>
    <w:p w14:paraId="591D01CF" w14:textId="77777777" w:rsidR="00E86304" w:rsidRPr="000312DD" w:rsidRDefault="00E86304" w:rsidP="00E86304">
      <w:pPr>
        <w:pStyle w:val="BodyPara"/>
        <w:rPr>
          <w:spacing w:val="-4"/>
        </w:rPr>
      </w:pPr>
      <w:r w:rsidRPr="000312DD">
        <w:rPr>
          <w:spacing w:val="-4"/>
        </w:rPr>
        <w:t>if it is a legislative instrument—by sunsetting u</w:t>
      </w:r>
      <w:r w:rsidRPr="000D2500">
        <w:rPr>
          <w:spacing w:val="-4"/>
        </w:rPr>
        <w:t xml:space="preserve">nder Part 4 of Chapter 3 of the </w:t>
      </w:r>
      <w:hyperlink r:id="rId317" w:history="1">
        <w:r w:rsidRPr="000D2500">
          <w:rPr>
            <w:rStyle w:val="Hyperlink"/>
            <w:spacing w:val="-4"/>
          </w:rPr>
          <w:t>LA</w:t>
        </w:r>
      </w:hyperlink>
      <w:r w:rsidRPr="000D2500">
        <w:rPr>
          <w:spacing w:val="-4"/>
        </w:rPr>
        <w:t>.</w:t>
      </w:r>
    </w:p>
    <w:p w14:paraId="48DB50DE" w14:textId="77777777" w:rsidR="00E86304" w:rsidRPr="00FD274F" w:rsidRDefault="00E86304" w:rsidP="00E86304">
      <w:pPr>
        <w:pStyle w:val="Head4"/>
      </w:pPr>
      <w:r w:rsidRPr="00FD274F">
        <w:t>Automatic and bulk repeal under P</w:t>
      </w:r>
      <w:r w:rsidRPr="000D2500">
        <w:t>art 3 of Chapter 3 of the LA</w:t>
      </w:r>
    </w:p>
    <w:p w14:paraId="20BA395B" w14:textId="77777777" w:rsidR="00E86304" w:rsidRDefault="00E86304" w:rsidP="00E86304">
      <w:pPr>
        <w:pStyle w:val="BodyNum"/>
      </w:pPr>
      <w:bookmarkStart w:id="120" w:name="_Ref384368606"/>
      <w:r>
        <w:t>A</w:t>
      </w:r>
      <w:r w:rsidRPr="00FD274F">
        <w:t>ll new instruments that are solely commencing, amending or repealing are subject to automatic repeal as soon as they have been registered</w:t>
      </w:r>
      <w:r>
        <w:t xml:space="preserve">, </w:t>
      </w:r>
      <w:r w:rsidRPr="00FD274F">
        <w:t xml:space="preserve">operated in full </w:t>
      </w:r>
      <w:r>
        <w:t xml:space="preserve">and, for disallowable legislative instruments, their disallowance period has ended </w:t>
      </w:r>
      <w:r w:rsidRPr="00FD274F">
        <w:t>(se</w:t>
      </w:r>
      <w:r w:rsidRPr="00492805">
        <w:t xml:space="preserve">e paragraph </w:t>
      </w:r>
      <w:r w:rsidRPr="000D2500">
        <w:fldChar w:fldCharType="begin"/>
      </w:r>
      <w:r w:rsidRPr="00492805">
        <w:instrText xml:space="preserve"> REF _Ref384723656 \r \h  \* MERGEFORMAT </w:instrText>
      </w:r>
      <w:r w:rsidRPr="000D2500">
        <w:fldChar w:fldCharType="separate"/>
      </w:r>
      <w:r>
        <w:t>91</w:t>
      </w:r>
      <w:r w:rsidRPr="000D2500">
        <w:fldChar w:fldCharType="end"/>
      </w:r>
      <w:r w:rsidRPr="00492805">
        <w:t>).</w:t>
      </w:r>
    </w:p>
    <w:p w14:paraId="23371055" w14:textId="77777777" w:rsidR="00E86304" w:rsidRPr="00FD274F" w:rsidRDefault="00E86304" w:rsidP="00E86304">
      <w:pPr>
        <w:pStyle w:val="BodyNum"/>
      </w:pPr>
      <w:bookmarkStart w:id="121" w:name="_Ref110331308"/>
      <w:r w:rsidRPr="00FD274F">
        <w:t>In addition, existing instruments and provisions can be repealed in bulk by means of a regulation made under secti</w:t>
      </w:r>
      <w:r w:rsidRPr="000D2500">
        <w:t xml:space="preserve">on 48E of the </w:t>
      </w:r>
      <w:hyperlink r:id="rId318" w:history="1">
        <w:r w:rsidRPr="000D2500">
          <w:rPr>
            <w:rStyle w:val="Hyperlink"/>
          </w:rPr>
          <w:t>LA</w:t>
        </w:r>
      </w:hyperlink>
      <w:r w:rsidRPr="000D2500">
        <w:rPr>
          <w:rStyle w:val="Hyperlink"/>
        </w:rPr>
        <w:t xml:space="preserve">. </w:t>
      </w:r>
      <w:r w:rsidRPr="000D2500">
        <w:t>H</w:t>
      </w:r>
      <w:r>
        <w:t>owever, no bulk repeal regulations have been made by the Attorney</w:t>
      </w:r>
      <w:r>
        <w:noBreakHyphen/>
        <w:t>General since 2015</w:t>
      </w:r>
      <w:r w:rsidRPr="00FD274F">
        <w:t>.</w:t>
      </w:r>
      <w:bookmarkEnd w:id="120"/>
      <w:bookmarkEnd w:id="121"/>
    </w:p>
    <w:p w14:paraId="127A502B" w14:textId="77777777" w:rsidR="00E86304" w:rsidRPr="00FD274F" w:rsidRDefault="00E86304" w:rsidP="00E86304">
      <w:pPr>
        <w:pStyle w:val="BodyNum"/>
      </w:pPr>
      <w:r w:rsidRPr="00FD274F">
        <w:t>Automatic and bulk repeal does not un</w:t>
      </w:r>
      <w:r>
        <w:t>do the effect of the instrument</w:t>
      </w:r>
      <w:r w:rsidRPr="00FD274F">
        <w:t>. Bulk repeal may also be used to repeal instruments that:</w:t>
      </w:r>
    </w:p>
    <w:p w14:paraId="79623971" w14:textId="77777777" w:rsidR="00E86304" w:rsidRPr="00FD274F" w:rsidRDefault="00E86304" w:rsidP="00E86304">
      <w:pPr>
        <w:pStyle w:val="BodyPara"/>
      </w:pPr>
      <w:r w:rsidRPr="00FD274F">
        <w:t>are spent but currently exempt from sunsetting; or</w:t>
      </w:r>
    </w:p>
    <w:p w14:paraId="48428A41" w14:textId="77777777" w:rsidR="00E86304" w:rsidRPr="00FD274F" w:rsidRDefault="00E86304" w:rsidP="00E86304">
      <w:pPr>
        <w:pStyle w:val="BodyPara"/>
      </w:pPr>
      <w:r w:rsidRPr="00FD274F">
        <w:t>may</w:t>
      </w:r>
      <w:r>
        <w:t xml:space="preserve"> not have been validly made; or</w:t>
      </w:r>
    </w:p>
    <w:p w14:paraId="3BBEB029" w14:textId="77777777" w:rsidR="00E86304" w:rsidRPr="00FD274F" w:rsidRDefault="00E86304" w:rsidP="00E86304">
      <w:pPr>
        <w:pStyle w:val="BodyPara"/>
      </w:pPr>
      <w:r w:rsidRPr="00FD274F">
        <w:t>are no longer required for whatever reason.</w:t>
      </w:r>
    </w:p>
    <w:p w14:paraId="1D78F8DA" w14:textId="77777777" w:rsidR="00E86304" w:rsidRPr="00FD274F" w:rsidRDefault="00E86304" w:rsidP="00E86304">
      <w:pPr>
        <w:pStyle w:val="BodyNum"/>
      </w:pPr>
      <w:r w:rsidRPr="00FD274F">
        <w:t xml:space="preserve">Agencies, not </w:t>
      </w:r>
      <w:proofErr w:type="spellStart"/>
      <w:r w:rsidRPr="00FD274F">
        <w:t>OPC</w:t>
      </w:r>
      <w:proofErr w:type="spellEnd"/>
      <w:r w:rsidRPr="00FD274F">
        <w:t xml:space="preserve">, are responsible for assessing whether there are any statutory or other impediments to the repeal of an instrument and, if appropriate, seeking legal advice about this matter in accordance with the </w:t>
      </w:r>
      <w:hyperlink r:id="rId319" w:history="1">
        <w:r w:rsidRPr="008E74B4">
          <w:rPr>
            <w:rStyle w:val="Hyperlink"/>
          </w:rPr>
          <w:t>Legal Services Directions</w:t>
        </w:r>
      </w:hyperlink>
      <w:r w:rsidRPr="000228F8">
        <w:t xml:space="preserve"> </w:t>
      </w:r>
      <w:r w:rsidRPr="0049119D">
        <w:t>a</w:t>
      </w:r>
      <w:r w:rsidRPr="00FD274F">
        <w:t>s in force from time to time. It may not be appropriate to list an instrument for bulk repeal if, for example, it:</w:t>
      </w:r>
    </w:p>
    <w:p w14:paraId="44EF8282" w14:textId="77777777" w:rsidR="00E86304" w:rsidRPr="00FD274F" w:rsidRDefault="00E86304" w:rsidP="00E86304">
      <w:pPr>
        <w:pStyle w:val="BodyPara"/>
      </w:pPr>
      <w:r w:rsidRPr="00FD274F">
        <w:t>is described in its enabling</w:t>
      </w:r>
      <w:r>
        <w:t xml:space="preserve"> legislation as irrevocable; or</w:t>
      </w:r>
    </w:p>
    <w:p w14:paraId="336EA1B9" w14:textId="77777777" w:rsidR="00E86304" w:rsidRPr="00FD274F" w:rsidRDefault="00E86304" w:rsidP="00E86304">
      <w:pPr>
        <w:pStyle w:val="BodyPara"/>
      </w:pPr>
      <w:r w:rsidRPr="00FD274F">
        <w:t>amends or modifies something that is not available on the Register (such as an aircraft maintenance manual</w:t>
      </w:r>
      <w:r>
        <w:t>,</w:t>
      </w:r>
      <w:r w:rsidRPr="00FD274F">
        <w:t xml:space="preserve"> or a law enacted by a State government); or</w:t>
      </w:r>
    </w:p>
    <w:p w14:paraId="363F10A5" w14:textId="77777777" w:rsidR="00E86304" w:rsidRPr="00FD274F" w:rsidRDefault="00E86304" w:rsidP="00E86304">
      <w:pPr>
        <w:pStyle w:val="BodyPara"/>
      </w:pPr>
      <w:r w:rsidRPr="00FD274F">
        <w:t>is referenced in the laws of another jurisdiction and changes to that law are required to ensure that there are no unintended consequences.</w:t>
      </w:r>
    </w:p>
    <w:p w14:paraId="2C6E6D00" w14:textId="77777777" w:rsidR="00E86304" w:rsidRPr="00FD274F" w:rsidRDefault="00E86304" w:rsidP="00E86304">
      <w:pPr>
        <w:pStyle w:val="BodyNum"/>
      </w:pPr>
      <w:r w:rsidRPr="00FD274F">
        <w:t xml:space="preserve">For more information about any aspect of automatic or bulk repeal, please contact </w:t>
      </w:r>
      <w:proofErr w:type="spellStart"/>
      <w:r w:rsidRPr="00FD274F">
        <w:t>OPC</w:t>
      </w:r>
      <w:proofErr w:type="spellEnd"/>
      <w:r w:rsidRPr="00FD274F">
        <w:t xml:space="preserve"> (</w:t>
      </w:r>
      <w:hyperlink r:id="rId320" w:history="1">
        <w:r w:rsidRPr="008E74B4">
          <w:rPr>
            <w:rStyle w:val="Hyperlink"/>
          </w:rPr>
          <w:t>sunsetting@opc.gov.au</w:t>
        </w:r>
      </w:hyperlink>
      <w:r w:rsidRPr="00FD274F">
        <w:t xml:space="preserve"> or (02) 6120 13</w:t>
      </w:r>
      <w:r>
        <w:t>50</w:t>
      </w:r>
      <w:r w:rsidRPr="00FD274F">
        <w:t>).</w:t>
      </w:r>
    </w:p>
    <w:p w14:paraId="2358516C" w14:textId="77777777" w:rsidR="00E86304" w:rsidRPr="00FD274F" w:rsidRDefault="00E86304" w:rsidP="00E86304">
      <w:pPr>
        <w:pStyle w:val="Head4"/>
      </w:pPr>
      <w:r w:rsidRPr="00FD274F">
        <w:t>Direct repeal by rule</w:t>
      </w:r>
      <w:r>
        <w:noBreakHyphen/>
      </w:r>
      <w:r w:rsidRPr="00FD274F">
        <w:t>maker</w:t>
      </w:r>
    </w:p>
    <w:p w14:paraId="0E386D76" w14:textId="77777777" w:rsidR="00E86304" w:rsidRPr="000D41C4" w:rsidRDefault="00E86304" w:rsidP="00E86304">
      <w:pPr>
        <w:pStyle w:val="BodyNum"/>
        <w:keepNext/>
      </w:pPr>
      <w:r w:rsidRPr="000D41C4">
        <w:t>A rule</w:t>
      </w:r>
      <w:r w:rsidRPr="000D41C4">
        <w:noBreakHyphen/>
        <w:t xml:space="preserve">maker who is authorised to make a particular instrument can repeal any instrument of the same </w:t>
      </w:r>
      <w:r>
        <w:t>kind</w:t>
      </w:r>
      <w:r w:rsidRPr="000D41C4">
        <w:t xml:space="preserve">, even if a different individual in the position of the rule-maker, or a delegate </w:t>
      </w:r>
      <w:r>
        <w:t xml:space="preserve">of </w:t>
      </w:r>
      <w:r w:rsidRPr="000D41C4">
        <w:t>the rule-maker, made the instrument. If a rule</w:t>
      </w:r>
      <w:r w:rsidRPr="000D41C4">
        <w:noBreakHyphen/>
        <w:t xml:space="preserve">maker is required or wishes to use </w:t>
      </w:r>
      <w:proofErr w:type="spellStart"/>
      <w:r w:rsidRPr="000D41C4">
        <w:t>OPC’s</w:t>
      </w:r>
      <w:proofErr w:type="spellEnd"/>
      <w:r w:rsidRPr="000D41C4">
        <w:t xml:space="preserve"> drafting services, please contact </w:t>
      </w:r>
      <w:proofErr w:type="spellStart"/>
      <w:r w:rsidRPr="000D41C4">
        <w:t>OPC</w:t>
      </w:r>
      <w:proofErr w:type="spellEnd"/>
      <w:r w:rsidRPr="000D41C4">
        <w:t xml:space="preserve"> with the details. Otherwise, please note that:</w:t>
      </w:r>
    </w:p>
    <w:p w14:paraId="25CBF773" w14:textId="77777777" w:rsidR="00E86304" w:rsidRPr="00FD274F" w:rsidRDefault="00E86304" w:rsidP="00E86304">
      <w:pPr>
        <w:pStyle w:val="BodyPara"/>
      </w:pPr>
      <w:r w:rsidRPr="00FD274F">
        <w:t xml:space="preserve">any date specified for repeal </w:t>
      </w:r>
      <w:r>
        <w:t xml:space="preserve">must not </w:t>
      </w:r>
      <w:r w:rsidRPr="00FD274F">
        <w:t xml:space="preserve">be </w:t>
      </w:r>
      <w:r>
        <w:t>later</w:t>
      </w:r>
      <w:r w:rsidRPr="00FD274F">
        <w:t xml:space="preserve"> than any sunset date that may apply under Pa</w:t>
      </w:r>
      <w:r w:rsidRPr="000D2500">
        <w:t xml:space="preserve">rt 4 of Chapter 3 of the </w:t>
      </w:r>
      <w:hyperlink r:id="rId321" w:history="1">
        <w:r w:rsidRPr="000D2500">
          <w:rPr>
            <w:rStyle w:val="Hyperlink"/>
          </w:rPr>
          <w:t>LA</w:t>
        </w:r>
      </w:hyperlink>
      <w:r w:rsidRPr="000D2500">
        <w:t>; a</w:t>
      </w:r>
      <w:r w:rsidRPr="00FD274F">
        <w:t>nd</w:t>
      </w:r>
    </w:p>
    <w:p w14:paraId="1CE0B75E" w14:textId="77777777" w:rsidR="00E86304" w:rsidRPr="00FD274F" w:rsidRDefault="00E86304" w:rsidP="00E86304">
      <w:pPr>
        <w:pStyle w:val="BodyPara"/>
      </w:pPr>
      <w:r w:rsidRPr="00FD274F">
        <w:lastRenderedPageBreak/>
        <w:t xml:space="preserve">it is important to use the word “repeal” to link clearly back to </w:t>
      </w:r>
      <w:r w:rsidRPr="0049119D">
        <w:t xml:space="preserve">section 7 of the </w:t>
      </w:r>
      <w:hyperlink r:id="rId322" w:history="1">
        <w:hyperlink r:id="rId323" w:history="1">
          <w:r w:rsidRPr="0049119D">
            <w:rPr>
              <w:rStyle w:val="Hyperlink"/>
              <w:i/>
            </w:rPr>
            <w:t>Acts Interpretation Act 1901</w:t>
          </w:r>
        </w:hyperlink>
      </w:hyperlink>
      <w:r w:rsidRPr="0049119D">
        <w:t>, unle</w:t>
      </w:r>
      <w:r w:rsidRPr="00FD274F">
        <w:t>ss another term is required b</w:t>
      </w:r>
      <w:r>
        <w:t>y the enabling legislation; and</w:t>
      </w:r>
    </w:p>
    <w:p w14:paraId="73E75AA6" w14:textId="77777777" w:rsidR="00E86304" w:rsidRDefault="00E86304" w:rsidP="00E86304">
      <w:pPr>
        <w:pStyle w:val="BodyPara"/>
      </w:pPr>
      <w:r w:rsidRPr="00FD274F">
        <w:t>if the instrument of repeal includes a transitional, saving or application provision that is not to be inserted into the principal instrument by amendment, a self</w:t>
      </w:r>
      <w:r>
        <w:noBreakHyphen/>
      </w:r>
      <w:r w:rsidRPr="00FD274F">
        <w:t>repealing provision should also be considered.</w:t>
      </w:r>
    </w:p>
    <w:p w14:paraId="0D8D99C7" w14:textId="77777777" w:rsidR="00E86304" w:rsidRPr="00FD274F" w:rsidRDefault="00E86304" w:rsidP="00E86304">
      <w:pPr>
        <w:pStyle w:val="BodyNum"/>
      </w:pPr>
      <w:r w:rsidRPr="00FD274F">
        <w:t>For further guidance on how to repeal instruments, including the drafting of self</w:t>
      </w:r>
      <w:r>
        <w:noBreakHyphen/>
      </w:r>
      <w:r w:rsidRPr="00FD274F">
        <w:t xml:space="preserve">repealing provisions, see </w:t>
      </w:r>
      <w:hyperlink w:anchor="Chapter3" w:history="1">
        <w:r w:rsidRPr="00492805">
          <w:rPr>
            <w:rStyle w:val="Hyperlink"/>
          </w:rPr>
          <w:t>Chapter 3</w:t>
        </w:r>
      </w:hyperlink>
      <w:r w:rsidRPr="00492805">
        <w:t>.</w:t>
      </w:r>
    </w:p>
    <w:p w14:paraId="0C512A5B" w14:textId="77777777" w:rsidR="00E86304" w:rsidRPr="00FD274F" w:rsidRDefault="00E86304" w:rsidP="00E86304">
      <w:pPr>
        <w:pStyle w:val="Head4"/>
      </w:pPr>
      <w:r w:rsidRPr="00FD274F">
        <w:t>Sunsetting under Pa</w:t>
      </w:r>
      <w:r w:rsidRPr="000D2500">
        <w:t>rt 4 of Chapter 3 of the LA</w:t>
      </w:r>
    </w:p>
    <w:p w14:paraId="20D2AE57" w14:textId="77777777" w:rsidR="00E86304" w:rsidRPr="00FD274F" w:rsidRDefault="00E86304" w:rsidP="00E86304">
      <w:pPr>
        <w:pStyle w:val="BodyNum"/>
      </w:pPr>
      <w:r w:rsidRPr="00FD274F">
        <w:t>If a legislative instrument is no longer required, it is preferable to repeal the instrument explicitly. Doing nothing does not guarantee that an instrument will, in fact, sunset because the instrument may be exempt from sunsetting. Even if an instrument is subject to sunsetting, any Senator or Member may move for a resolution to defer (“</w:t>
      </w:r>
      <w:r>
        <w:t>rollover</w:t>
      </w:r>
      <w:r w:rsidRPr="00FD274F">
        <w:t>”) its sunset date by 10 years.</w:t>
      </w:r>
    </w:p>
    <w:p w14:paraId="4D770BCF" w14:textId="77777777" w:rsidR="00E86304" w:rsidRPr="00FD274F" w:rsidRDefault="00E86304" w:rsidP="00E86304">
      <w:pPr>
        <w:pStyle w:val="BodyNum"/>
      </w:pPr>
      <w:r w:rsidRPr="00FD274F">
        <w:t xml:space="preserve">For further guidance on sunsetting processes, see </w:t>
      </w:r>
      <w:hyperlink w:anchor="Chapter10" w:history="1">
        <w:r w:rsidRPr="00492805">
          <w:rPr>
            <w:rStyle w:val="Hyperlink"/>
          </w:rPr>
          <w:t xml:space="preserve">Chapter </w:t>
        </w:r>
        <w:r>
          <w:rPr>
            <w:rStyle w:val="Hyperlink"/>
          </w:rPr>
          <w:t>9</w:t>
        </w:r>
      </w:hyperlink>
      <w:r w:rsidRPr="00492805">
        <w:t>.</w:t>
      </w:r>
    </w:p>
    <w:p w14:paraId="6B0CD39F" w14:textId="77777777" w:rsidR="00E86304" w:rsidRDefault="00E86304" w:rsidP="00E86304">
      <w:pPr>
        <w:pStyle w:val="Head2"/>
        <w:rPr>
          <w:sz w:val="36"/>
        </w:rPr>
        <w:sectPr w:rsidR="00E86304" w:rsidSect="00E86304">
          <w:headerReference w:type="default" r:id="rId324"/>
          <w:footerReference w:type="default" r:id="rId325"/>
          <w:pgSz w:w="11907" w:h="16839" w:code="9"/>
          <w:pgMar w:top="1440" w:right="1440" w:bottom="1418" w:left="1440" w:header="720" w:footer="720" w:gutter="0"/>
          <w:cols w:sep="1" w:space="567"/>
          <w:docGrid w:linePitch="360"/>
        </w:sectPr>
      </w:pPr>
    </w:p>
    <w:p w14:paraId="661F6947" w14:textId="77777777" w:rsidR="00E86304" w:rsidRPr="00FD274F" w:rsidRDefault="00E86304" w:rsidP="00E86304">
      <w:pPr>
        <w:pStyle w:val="Head1"/>
      </w:pPr>
      <w:bookmarkStart w:id="122" w:name="_Toc238117560"/>
      <w:r w:rsidRPr="00FD274F">
        <w:lastRenderedPageBreak/>
        <w:t>Part 2—Matters specific to legislative instruments</w:t>
      </w:r>
      <w:bookmarkEnd w:id="122"/>
    </w:p>
    <w:p w14:paraId="5E16C5FF" w14:textId="77777777" w:rsidR="00E86304" w:rsidRPr="00FD274F" w:rsidRDefault="00E86304" w:rsidP="00E86304">
      <w:pPr>
        <w:pStyle w:val="Head2"/>
      </w:pPr>
      <w:bookmarkStart w:id="123" w:name="_Toc238117561"/>
      <w:bookmarkStart w:id="124" w:name="Chapter7"/>
      <w:r w:rsidRPr="00FD274F">
        <w:t xml:space="preserve">Chapter </w:t>
      </w:r>
      <w:r>
        <w:t>6</w:t>
      </w:r>
      <w:r w:rsidRPr="00FD274F">
        <w:t>—Before making a legislative instrument</w:t>
      </w:r>
      <w:bookmarkEnd w:id="123"/>
    </w:p>
    <w:bookmarkEnd w:id="124"/>
    <w:p w14:paraId="2AB6B57C" w14:textId="77777777" w:rsidR="00E86304" w:rsidRPr="00FD274F" w:rsidRDefault="00E86304" w:rsidP="00E86304">
      <w:pPr>
        <w:pStyle w:val="SundryBoxHeadBold"/>
      </w:pPr>
      <w:r>
        <w:t>Main points</w:t>
      </w:r>
    </w:p>
    <w:p w14:paraId="3E5D1476" w14:textId="77777777" w:rsidR="00E86304" w:rsidRPr="00FD274F" w:rsidRDefault="00E86304" w:rsidP="00E86304">
      <w:pPr>
        <w:pStyle w:val="SundryBoxBullet"/>
      </w:pPr>
      <w:r w:rsidRPr="00FD274F">
        <w:t>•</w:t>
      </w:r>
      <w:r w:rsidRPr="00FD274F">
        <w:tab/>
        <w:t>Before making a legislative instrument, a rule</w:t>
      </w:r>
      <w:r>
        <w:noBreakHyphen/>
      </w:r>
      <w:r w:rsidRPr="00FD274F">
        <w:t>maker is required to do a range of things (or to arrange for these to be done)</w:t>
      </w:r>
      <w:r>
        <w:t>.</w:t>
      </w:r>
    </w:p>
    <w:p w14:paraId="13E6D879" w14:textId="77777777" w:rsidR="00E86304" w:rsidRPr="00FD274F" w:rsidRDefault="00E86304" w:rsidP="00E86304">
      <w:pPr>
        <w:pStyle w:val="SundryBoxBullet"/>
      </w:pPr>
      <w:r w:rsidRPr="00FD274F">
        <w:t>•</w:t>
      </w:r>
      <w:r w:rsidRPr="00FD274F">
        <w:tab/>
        <w:t>In particular, the rule</w:t>
      </w:r>
      <w:r>
        <w:noBreakHyphen/>
      </w:r>
      <w:r w:rsidRPr="00FD274F">
        <w:t xml:space="preserve">maker must be satisfied that consultation has been undertaken to the extent </w:t>
      </w:r>
      <w:r>
        <w:t xml:space="preserve">that is </w:t>
      </w:r>
      <w:r w:rsidRPr="00FD274F">
        <w:t>appropriate and practicable.</w:t>
      </w:r>
    </w:p>
    <w:p w14:paraId="1A0B5920" w14:textId="77777777" w:rsidR="00E86304" w:rsidRPr="00FD274F" w:rsidRDefault="00E86304" w:rsidP="00E86304">
      <w:pPr>
        <w:pStyle w:val="SundryBoxBullet"/>
      </w:pPr>
      <w:r w:rsidRPr="00FD274F">
        <w:t>•</w:t>
      </w:r>
      <w:r w:rsidRPr="00FD274F">
        <w:tab/>
        <w:t>The rule</w:t>
      </w:r>
      <w:r>
        <w:noBreakHyphen/>
      </w:r>
      <w:r w:rsidRPr="00FD274F">
        <w:t xml:space="preserve">maker must also assess the </w:t>
      </w:r>
      <w:r>
        <w:t>policy</w:t>
      </w:r>
      <w:r w:rsidRPr="00FD274F">
        <w:t xml:space="preserve"> impact of a proposal, and consider a range of other matters.</w:t>
      </w:r>
    </w:p>
    <w:p w14:paraId="4066D8D2" w14:textId="77777777" w:rsidR="00E86304" w:rsidRPr="00FD274F" w:rsidRDefault="00E86304" w:rsidP="00E86304">
      <w:pPr>
        <w:pStyle w:val="Head3"/>
      </w:pPr>
      <w:bookmarkStart w:id="125" w:name="_Toc238117562"/>
      <w:bookmarkStart w:id="126" w:name="_Hlk175830055"/>
      <w:r w:rsidRPr="00FD274F">
        <w:t>What is making?</w:t>
      </w:r>
      <w:bookmarkEnd w:id="125"/>
    </w:p>
    <w:p w14:paraId="4498D2F8" w14:textId="77777777" w:rsidR="00E86304" w:rsidRDefault="00E86304" w:rsidP="00E86304">
      <w:pPr>
        <w:pStyle w:val="BodyNum"/>
      </w:pPr>
      <w:r w:rsidRPr="00FD274F">
        <w:t>For the purposes of t</w:t>
      </w:r>
      <w:r w:rsidRPr="009574E1">
        <w:t xml:space="preserve">he </w:t>
      </w:r>
      <w:hyperlink r:id="rId326" w:history="1">
        <w:r w:rsidRPr="009574E1">
          <w:rPr>
            <w:rStyle w:val="Hyperlink"/>
          </w:rPr>
          <w:t>LA</w:t>
        </w:r>
      </w:hyperlink>
      <w:r w:rsidRPr="009574E1">
        <w:t>, t</w:t>
      </w:r>
      <w:r w:rsidRPr="00FD274F">
        <w:t xml:space="preserve">he </w:t>
      </w:r>
      <w:r w:rsidRPr="00FD274F">
        <w:rPr>
          <w:b/>
          <w:i/>
        </w:rPr>
        <w:t>making</w:t>
      </w:r>
      <w:r w:rsidRPr="00FD274F">
        <w:t xml:space="preserve"> of a legislative instrument is the signing, sealing or other endorsement of the instrument by the person or body empowered to make it, by which it becomes a legislative instrum</w:t>
      </w:r>
      <w:r w:rsidRPr="009574E1">
        <w:t>ent (</w:t>
      </w:r>
      <w:hyperlink r:id="rId327" w:history="1">
        <w:r w:rsidRPr="009574E1">
          <w:rPr>
            <w:rStyle w:val="Hyperlink"/>
          </w:rPr>
          <w:t>LA</w:t>
        </w:r>
      </w:hyperlink>
      <w:r w:rsidRPr="009574E1">
        <w:rPr>
          <w:rStyle w:val="Hyperlink"/>
        </w:rPr>
        <w:t xml:space="preserve"> </w:t>
      </w:r>
      <w:r w:rsidRPr="009574E1">
        <w:t>s 4).</w:t>
      </w:r>
    </w:p>
    <w:p w14:paraId="35E25667" w14:textId="77777777" w:rsidR="00E86304" w:rsidRDefault="00E86304" w:rsidP="00E86304">
      <w:pPr>
        <w:pStyle w:val="BodyNum"/>
      </w:pPr>
      <w:r w:rsidRPr="0049119D">
        <w:t>AGS have published the Legal briefing - Execution solutions for remote working arrangements t</w:t>
      </w:r>
      <w:r>
        <w:t>o assist agencies. In this, AGS advise:</w:t>
      </w:r>
    </w:p>
    <w:p w14:paraId="47196CE2" w14:textId="77777777" w:rsidR="00E86304" w:rsidRPr="001C63D8" w:rsidRDefault="00E86304" w:rsidP="00E86304">
      <w:pPr>
        <w:pStyle w:val="Head4"/>
        <w:ind w:left="284"/>
      </w:pPr>
      <w:r w:rsidRPr="001C63D8">
        <w:t>Making legislative instruments</w:t>
      </w:r>
    </w:p>
    <w:p w14:paraId="3572EE2C" w14:textId="77777777" w:rsidR="00E86304" w:rsidRPr="001C63D8" w:rsidRDefault="00E86304" w:rsidP="00E86304">
      <w:pPr>
        <w:pStyle w:val="Body"/>
        <w:ind w:left="284"/>
      </w:pPr>
      <w:r w:rsidRPr="001C63D8">
        <w:t xml:space="preserve">Under the </w:t>
      </w:r>
      <w:r w:rsidRPr="002F3911">
        <w:rPr>
          <w:i/>
        </w:rPr>
        <w:t>Legislation Act 2003</w:t>
      </w:r>
      <w:r w:rsidRPr="002F3911">
        <w:t xml:space="preserve"> (</w:t>
      </w:r>
      <w:proofErr w:type="spellStart"/>
      <w:r w:rsidRPr="002F3911">
        <w:t>Cth</w:t>
      </w:r>
      <w:proofErr w:type="spellEnd"/>
      <w:r w:rsidRPr="002F3911">
        <w:t>), a l</w:t>
      </w:r>
      <w:r w:rsidRPr="001C63D8">
        <w:t>egislative instrument is ‘made’ by the signing, sealing or other endorsement of the instrument by the person or body empowered to make it. A Minister or other rule-maker could probably ‘make’ such an instrument by personally applying an electronic signature, on the basis that this would constitute their endorsement (approval) of the instrument.</w:t>
      </w:r>
    </w:p>
    <w:p w14:paraId="1527E02F" w14:textId="77777777" w:rsidR="00E86304" w:rsidRPr="001C63D8" w:rsidRDefault="00E86304" w:rsidP="00E86304">
      <w:pPr>
        <w:pStyle w:val="Body"/>
        <w:ind w:left="284"/>
      </w:pPr>
      <w:r w:rsidRPr="001C63D8">
        <w:t>Where this is done, it would be advisable that a person witness the application by the Minister of their electronic signature and make a contemporaneous file note to that effect, to ensure that evidence can be provided should there be a question raised in future as to whether it was the Minister who endorsed the document. Alternatively, it may be that the electronic signature could be locked to the Minister personally and evidence provided, if required, that only the Minister could access and apply it.</w:t>
      </w:r>
    </w:p>
    <w:bookmarkEnd w:id="126"/>
    <w:p w14:paraId="35D02884" w14:textId="77777777" w:rsidR="00E86304" w:rsidRPr="001C63D8" w:rsidRDefault="00E86304" w:rsidP="00E86304">
      <w:pPr>
        <w:pStyle w:val="BodyNum"/>
      </w:pPr>
      <w:r w:rsidRPr="001C63D8">
        <w:t xml:space="preserve">Before </w:t>
      </w:r>
      <w:r>
        <w:t>applying</w:t>
      </w:r>
      <w:r w:rsidRPr="001C63D8">
        <w:t xml:space="preserve"> </w:t>
      </w:r>
      <w:r>
        <w:t xml:space="preserve">an </w:t>
      </w:r>
      <w:r w:rsidRPr="001C63D8">
        <w:t xml:space="preserve">electronic signature, agencies should satisfy themselves first that the instrument can be validly made using </w:t>
      </w:r>
      <w:r>
        <w:t xml:space="preserve">the application of </w:t>
      </w:r>
      <w:r w:rsidRPr="001C63D8">
        <w:t>an electronic signature.</w:t>
      </w:r>
    </w:p>
    <w:p w14:paraId="0DAF27B3" w14:textId="77777777" w:rsidR="00E86304" w:rsidRPr="001C63D8" w:rsidRDefault="00E86304" w:rsidP="00E86304">
      <w:pPr>
        <w:pStyle w:val="BodyNum"/>
      </w:pPr>
      <w:r w:rsidRPr="001C63D8">
        <w:t xml:space="preserve">For instruments for Exco, agencies should </w:t>
      </w:r>
      <w:r>
        <w:t>also have regard</w:t>
      </w:r>
      <w:r w:rsidRPr="001C63D8">
        <w:t xml:space="preserve"> to other relevant guidance, including</w:t>
      </w:r>
      <w:r>
        <w:t>,</w:t>
      </w:r>
      <w:r w:rsidRPr="001C63D8">
        <w:t xml:space="preserve"> for example</w:t>
      </w:r>
      <w:r>
        <w:t xml:space="preserve">, </w:t>
      </w:r>
      <w:r w:rsidRPr="001C63D8">
        <w:t>the</w:t>
      </w:r>
      <w:r>
        <w:t xml:space="preserve"> </w:t>
      </w:r>
      <w:r w:rsidRPr="00FD274F">
        <w:t>Federal</w:t>
      </w:r>
      <w:r>
        <w:t xml:space="preserve"> </w:t>
      </w:r>
      <w:r w:rsidRPr="001C63D8">
        <w:t>Exe</w:t>
      </w:r>
      <w:r w:rsidRPr="0049119D">
        <w:t>cutive Council Handbook</w:t>
      </w:r>
      <w:r w:rsidRPr="0049119D">
        <w:rPr>
          <w:rStyle w:val="FootnoteReference"/>
        </w:rPr>
        <w:footnoteReference w:id="19"/>
      </w:r>
      <w:r>
        <w:t xml:space="preserve"> and Executive Council Circulars.</w:t>
      </w:r>
    </w:p>
    <w:p w14:paraId="1392A60B" w14:textId="77777777" w:rsidR="00E86304" w:rsidRDefault="00E86304" w:rsidP="00E86304">
      <w:pPr>
        <w:pStyle w:val="BodyNum"/>
      </w:pPr>
      <w:r w:rsidRPr="001C63D8">
        <w:lastRenderedPageBreak/>
        <w:t xml:space="preserve">When an instrument is lodged for registration, </w:t>
      </w:r>
      <w:r>
        <w:t xml:space="preserve">an additional certification requirement is included in relation to electronic signatures that have been applied to a legislative instrument </w:t>
      </w:r>
      <w:r w:rsidRPr="00A55793">
        <w:t xml:space="preserve">(see paragraph </w:t>
      </w:r>
      <w:r w:rsidRPr="009574E1">
        <w:fldChar w:fldCharType="begin"/>
      </w:r>
      <w:r w:rsidRPr="00A55793">
        <w:instrText xml:space="preserve"> REF _Ref81732483 \r \h </w:instrText>
      </w:r>
      <w:r>
        <w:rPr>
          <w:highlight w:val="yellow"/>
        </w:rPr>
        <w:instrText xml:space="preserve"> \* MERGEFORMAT </w:instrText>
      </w:r>
      <w:r w:rsidRPr="009574E1">
        <w:fldChar w:fldCharType="separate"/>
      </w:r>
      <w:r>
        <w:t>153</w:t>
      </w:r>
      <w:r w:rsidRPr="009574E1">
        <w:fldChar w:fldCharType="end"/>
      </w:r>
      <w:r w:rsidRPr="00A55793">
        <w:t>).</w:t>
      </w:r>
    </w:p>
    <w:p w14:paraId="7BF8A752" w14:textId="77777777" w:rsidR="00E86304" w:rsidRPr="00FD274F" w:rsidRDefault="00E86304" w:rsidP="00E86304">
      <w:pPr>
        <w:pStyle w:val="Head3"/>
      </w:pPr>
      <w:bookmarkStart w:id="127" w:name="_Toc238117563"/>
      <w:r w:rsidRPr="00FD274F">
        <w:t>Requirement to consult before making</w:t>
      </w:r>
      <w:bookmarkEnd w:id="127"/>
    </w:p>
    <w:p w14:paraId="0D37DEE4" w14:textId="77777777" w:rsidR="00E86304" w:rsidRPr="00FD274F" w:rsidRDefault="00E86304" w:rsidP="00E86304">
      <w:pPr>
        <w:pStyle w:val="BodyNum"/>
      </w:pPr>
      <w:r w:rsidRPr="00FD274F">
        <w:t>T</w:t>
      </w:r>
      <w:r w:rsidRPr="00521AB3">
        <w:t xml:space="preserve">he </w:t>
      </w:r>
      <w:hyperlink r:id="rId328" w:history="1">
        <w:r w:rsidRPr="00521AB3">
          <w:rPr>
            <w:rStyle w:val="Hyperlink"/>
          </w:rPr>
          <w:t>LA</w:t>
        </w:r>
      </w:hyperlink>
      <w:r w:rsidRPr="00521AB3">
        <w:t xml:space="preserve"> requi</w:t>
      </w:r>
      <w:r w:rsidRPr="00FD274F">
        <w:t>res a rule</w:t>
      </w:r>
      <w:r>
        <w:noBreakHyphen/>
      </w:r>
      <w:r w:rsidRPr="00FD274F">
        <w:t>maker, before making a legislative instrument, to be satisfied that any consultation the rule</w:t>
      </w:r>
      <w:r>
        <w:noBreakHyphen/>
      </w:r>
      <w:r w:rsidRPr="00FD274F">
        <w:t>maker considers to be appropriate and reasonably practicable has been undertak</w:t>
      </w:r>
      <w:r w:rsidRPr="00521AB3">
        <w:t>en (</w:t>
      </w:r>
      <w:hyperlink r:id="rId329" w:history="1">
        <w:r w:rsidRPr="00521AB3">
          <w:rPr>
            <w:rStyle w:val="Hyperlink"/>
          </w:rPr>
          <w:t>LA</w:t>
        </w:r>
      </w:hyperlink>
      <w:r w:rsidRPr="00521AB3">
        <w:rPr>
          <w:rStyle w:val="Hyperlink"/>
        </w:rPr>
        <w:t xml:space="preserve"> </w:t>
      </w:r>
      <w:r w:rsidRPr="00521AB3">
        <w:t>s 17(1)).</w:t>
      </w:r>
      <w:r w:rsidRPr="00FD274F">
        <w:t xml:space="preserve"> This requirement applies to all legislative instruments.</w:t>
      </w:r>
    </w:p>
    <w:p w14:paraId="336E8C19" w14:textId="77777777" w:rsidR="00E86304" w:rsidRPr="00FD274F" w:rsidRDefault="00E86304" w:rsidP="00E86304">
      <w:pPr>
        <w:pStyle w:val="BodyNum"/>
      </w:pPr>
      <w:r w:rsidRPr="00FD274F">
        <w:t xml:space="preserve">The </w:t>
      </w:r>
      <w:hyperlink r:id="rId330" w:history="1">
        <w:r w:rsidRPr="00521AB3">
          <w:rPr>
            <w:rStyle w:val="Hyperlink"/>
          </w:rPr>
          <w:t>LA</w:t>
        </w:r>
      </w:hyperlink>
      <w:r w:rsidRPr="00521AB3">
        <w:t xml:space="preserve"> pro</w:t>
      </w:r>
      <w:r w:rsidRPr="00FD274F">
        <w:t>vides that, in deciding whether consultation is appropriate, the rule</w:t>
      </w:r>
      <w:r>
        <w:noBreakHyphen/>
      </w:r>
      <w:r w:rsidRPr="00FD274F">
        <w:t>maker may have regard to the extent to which consultation drew on the knowledge of relevant subject matter experts and ensured that persons likely to be affected by the proposed instrument had an adequate opportunity to comment on its proposed conten</w:t>
      </w:r>
      <w:r w:rsidRPr="00521AB3">
        <w:t>t (</w:t>
      </w:r>
      <w:hyperlink r:id="rId331" w:history="1">
        <w:r w:rsidRPr="00521AB3">
          <w:rPr>
            <w:rStyle w:val="Hyperlink"/>
          </w:rPr>
          <w:t>LA</w:t>
        </w:r>
      </w:hyperlink>
      <w:r w:rsidRPr="00521AB3">
        <w:rPr>
          <w:rStyle w:val="Hyperlink"/>
        </w:rPr>
        <w:t xml:space="preserve"> </w:t>
      </w:r>
      <w:r w:rsidRPr="00521AB3">
        <w:t>s 17(2)).</w:t>
      </w:r>
      <w:r w:rsidRPr="00FD274F">
        <w:t xml:space="preserve"> Consultation could involve </w:t>
      </w:r>
      <w:r w:rsidRPr="00521AB3">
        <w:t>(</w:t>
      </w:r>
      <w:hyperlink r:id="rId332" w:history="1">
        <w:r w:rsidRPr="00521AB3">
          <w:rPr>
            <w:rStyle w:val="Hyperlink"/>
          </w:rPr>
          <w:t>LA</w:t>
        </w:r>
      </w:hyperlink>
      <w:r w:rsidRPr="00521AB3">
        <w:rPr>
          <w:rStyle w:val="Hyperlink"/>
        </w:rPr>
        <w:t xml:space="preserve"> </w:t>
      </w:r>
      <w:r w:rsidRPr="00521AB3">
        <w:t>s 17(3)):</w:t>
      </w:r>
    </w:p>
    <w:p w14:paraId="3301688F" w14:textId="77777777" w:rsidR="00E86304" w:rsidRPr="00FD274F" w:rsidRDefault="00E86304" w:rsidP="00E86304">
      <w:pPr>
        <w:pStyle w:val="BodyPara"/>
      </w:pPr>
      <w:r w:rsidRPr="00FD274F">
        <w:t>notifying representative bodies or organisations (either directly or by advertisement); and</w:t>
      </w:r>
    </w:p>
    <w:p w14:paraId="581508BE" w14:textId="77777777" w:rsidR="00E86304" w:rsidRPr="00FD274F" w:rsidRDefault="00E86304" w:rsidP="00E86304">
      <w:pPr>
        <w:pStyle w:val="BodyPara"/>
      </w:pPr>
      <w:r w:rsidRPr="00FD274F">
        <w:t>inviting submissions or pa</w:t>
      </w:r>
      <w:r>
        <w:t>rticipation in public hearings.</w:t>
      </w:r>
    </w:p>
    <w:p w14:paraId="39FD5636" w14:textId="77777777" w:rsidR="00E86304" w:rsidRPr="00FD274F" w:rsidRDefault="00E86304" w:rsidP="00E86304">
      <w:pPr>
        <w:pStyle w:val="BodyNum"/>
      </w:pPr>
      <w:r w:rsidRPr="00FD274F">
        <w:t>Although t</w:t>
      </w:r>
      <w:r w:rsidRPr="00521AB3">
        <w:t xml:space="preserve">he </w:t>
      </w:r>
      <w:hyperlink r:id="rId333" w:history="1">
        <w:r w:rsidRPr="00521AB3">
          <w:rPr>
            <w:rStyle w:val="Hyperlink"/>
          </w:rPr>
          <w:t>LA</w:t>
        </w:r>
      </w:hyperlink>
      <w:r w:rsidRPr="00521AB3">
        <w:t xml:space="preserve"> is</w:t>
      </w:r>
      <w:r w:rsidRPr="00FD274F">
        <w:t xml:space="preserve"> not prescriptive about consultation, agencies should note that the Parliament takes the obligation to consult seriously. Inadequate consultation is one of the most frequent grounds of criticism by the Senate Standing Committee </w:t>
      </w:r>
      <w:r>
        <w:t xml:space="preserve">for the Scrutiny of Delegated Legislation </w:t>
      </w:r>
      <w:r w:rsidRPr="00FD274F">
        <w:t>(</w:t>
      </w:r>
      <w:r>
        <w:t>SDLC</w:t>
      </w:r>
      <w:r w:rsidRPr="00FD274F">
        <w:t>). Consequently, agencies should:</w:t>
      </w:r>
    </w:p>
    <w:p w14:paraId="46E132C1" w14:textId="77777777" w:rsidR="00E86304" w:rsidRPr="00FD274F" w:rsidRDefault="00E86304" w:rsidP="00E86304">
      <w:pPr>
        <w:pStyle w:val="BodyPara"/>
      </w:pPr>
      <w:r w:rsidRPr="00FD274F">
        <w:t>establish what the rule</w:t>
      </w:r>
      <w:r>
        <w:noBreakHyphen/>
      </w:r>
      <w:r w:rsidRPr="00FD274F">
        <w:t>maker considers to be the most appropriate form of consultation at an early stage of the process; and</w:t>
      </w:r>
    </w:p>
    <w:p w14:paraId="4864E77C" w14:textId="77777777" w:rsidR="00E86304" w:rsidRPr="00FD274F" w:rsidRDefault="00E86304" w:rsidP="00E86304">
      <w:pPr>
        <w:pStyle w:val="BodyPara"/>
      </w:pPr>
      <w:r w:rsidRPr="00FD274F">
        <w:t>satisfy the rule</w:t>
      </w:r>
      <w:r>
        <w:noBreakHyphen/>
      </w:r>
      <w:r w:rsidRPr="00FD274F">
        <w:t>maker that consultation has been undertaken to the required standard bef</w:t>
      </w:r>
      <w:r>
        <w:t>ore the instrument is made; and</w:t>
      </w:r>
    </w:p>
    <w:p w14:paraId="621163ED" w14:textId="77777777" w:rsidR="00E86304" w:rsidRPr="00FD274F" w:rsidRDefault="00E86304" w:rsidP="00E86304">
      <w:pPr>
        <w:pStyle w:val="BodyPara"/>
      </w:pPr>
      <w:r w:rsidRPr="00FD274F">
        <w:t>ensure that the explanatory statement for an instrument provides an adequate description of either:</w:t>
      </w:r>
    </w:p>
    <w:p w14:paraId="503359CE" w14:textId="77777777" w:rsidR="00E86304" w:rsidRPr="00FD274F" w:rsidRDefault="00E86304" w:rsidP="00E86304">
      <w:pPr>
        <w:pStyle w:val="BodySubPara"/>
      </w:pPr>
      <w:r w:rsidRPr="00FD274F">
        <w:t>the consul</w:t>
      </w:r>
      <w:r>
        <w:t>tation process and outcomes; or</w:t>
      </w:r>
    </w:p>
    <w:p w14:paraId="5D092474" w14:textId="77777777" w:rsidR="00E86304" w:rsidRPr="00FD274F" w:rsidRDefault="00E86304" w:rsidP="00E86304">
      <w:pPr>
        <w:pStyle w:val="BodySubPara"/>
      </w:pPr>
      <w:r w:rsidRPr="00FD274F">
        <w:t xml:space="preserve">if no consultation was undertaken, the reasons for not consulting (see </w:t>
      </w:r>
      <w:r w:rsidRPr="00A55793">
        <w:t xml:space="preserve">paragraphs </w:t>
      </w:r>
      <w:r w:rsidRPr="00521AB3">
        <w:fldChar w:fldCharType="begin"/>
      </w:r>
      <w:r w:rsidRPr="00A55793">
        <w:instrText xml:space="preserve"> REF _Ref369887055 \r \h  \* MERGEFORMAT </w:instrText>
      </w:r>
      <w:r w:rsidRPr="00521AB3">
        <w:fldChar w:fldCharType="separate"/>
      </w:r>
      <w:r>
        <w:t>224</w:t>
      </w:r>
      <w:r w:rsidRPr="00521AB3">
        <w:fldChar w:fldCharType="end"/>
      </w:r>
      <w:r w:rsidRPr="00A55793">
        <w:t xml:space="preserve"> to </w:t>
      </w:r>
      <w:r w:rsidRPr="00521AB3">
        <w:fldChar w:fldCharType="begin"/>
      </w:r>
      <w:r w:rsidRPr="00A55793">
        <w:instrText xml:space="preserve"> REF _Ref369887049 \r \h  \* MERGEFORMAT </w:instrText>
      </w:r>
      <w:r w:rsidRPr="00521AB3">
        <w:fldChar w:fldCharType="separate"/>
      </w:r>
      <w:r>
        <w:t>226</w:t>
      </w:r>
      <w:r w:rsidRPr="00521AB3">
        <w:fldChar w:fldCharType="end"/>
      </w:r>
      <w:r w:rsidRPr="00A55793">
        <w:t>).</w:t>
      </w:r>
    </w:p>
    <w:p w14:paraId="42C85034" w14:textId="77777777" w:rsidR="00E86304" w:rsidRPr="00FD274F" w:rsidRDefault="00E86304" w:rsidP="00E86304">
      <w:pPr>
        <w:pStyle w:val="BodyNum"/>
      </w:pPr>
      <w:bookmarkStart w:id="128" w:name="_Ref369887081"/>
      <w:r w:rsidRPr="00FD274F">
        <w:t xml:space="preserve">An explanatory statement that does not mention consultation, or that contains only a superficial description, is likely to result in the relevant Minister being asked by </w:t>
      </w:r>
      <w:r>
        <w:t xml:space="preserve">the SDLC </w:t>
      </w:r>
      <w:r w:rsidRPr="00FD274F">
        <w:t>to provide additional i</w:t>
      </w:r>
      <w:r>
        <w:t>nformation or take other action</w:t>
      </w:r>
      <w:r w:rsidRPr="00FD274F">
        <w:t>. Further guidance on how to meet the requirements of t</w:t>
      </w:r>
      <w:r w:rsidRPr="00521AB3">
        <w:t xml:space="preserve">he </w:t>
      </w:r>
      <w:hyperlink r:id="rId334" w:history="1">
        <w:r w:rsidRPr="00521AB3">
          <w:rPr>
            <w:rStyle w:val="Hyperlink"/>
          </w:rPr>
          <w:t>LA</w:t>
        </w:r>
      </w:hyperlink>
      <w:r w:rsidRPr="00521AB3">
        <w:t xml:space="preserve"> a</w:t>
      </w:r>
      <w:r w:rsidRPr="00FD274F">
        <w:t xml:space="preserve">nd the Parliament is provided on the </w:t>
      </w:r>
      <w:r>
        <w:t xml:space="preserve">SDLC </w:t>
      </w:r>
      <w:r w:rsidRPr="00FD274F">
        <w:t>websi</w:t>
      </w:r>
      <w:r w:rsidRPr="009574E1">
        <w:t>te</w:t>
      </w:r>
      <w:r w:rsidRPr="009574E1">
        <w:rPr>
          <w:rStyle w:val="FootnoteReference"/>
        </w:rPr>
        <w:footnoteReference w:id="20"/>
      </w:r>
      <w:r w:rsidRPr="009574E1">
        <w:t>.</w:t>
      </w:r>
    </w:p>
    <w:bookmarkEnd w:id="128"/>
    <w:p w14:paraId="19B9C178" w14:textId="77777777" w:rsidR="00E86304" w:rsidRPr="00FD274F" w:rsidRDefault="00E86304" w:rsidP="00E86304">
      <w:pPr>
        <w:pStyle w:val="Head4"/>
      </w:pPr>
      <w:r w:rsidRPr="00FD274F">
        <w:lastRenderedPageBreak/>
        <w:t>When consultation may be unnecessary or inappropriate</w:t>
      </w:r>
    </w:p>
    <w:p w14:paraId="063FE5A0" w14:textId="77777777" w:rsidR="00E86304" w:rsidRPr="00FD274F" w:rsidRDefault="00E86304" w:rsidP="00E86304">
      <w:pPr>
        <w:pStyle w:val="BodyNum"/>
      </w:pPr>
      <w:bookmarkStart w:id="129" w:name="_Ref369887055"/>
      <w:r w:rsidRPr="00FD274F">
        <w:t xml:space="preserve">The </w:t>
      </w:r>
      <w:hyperlink r:id="rId335" w:history="1">
        <w:r w:rsidRPr="00521AB3">
          <w:rPr>
            <w:rStyle w:val="Hyperlink"/>
          </w:rPr>
          <w:t>LA</w:t>
        </w:r>
      </w:hyperlink>
      <w:r w:rsidRPr="00521AB3">
        <w:t xml:space="preserve"> does</w:t>
      </w:r>
      <w:r w:rsidRPr="00FD274F">
        <w:t xml:space="preserve"> not require consultation if the rule</w:t>
      </w:r>
      <w:r>
        <w:noBreakHyphen/>
      </w:r>
      <w:r w:rsidRPr="00FD274F">
        <w:t>maker considers it inappropriate or impractical. It may be, for example, that a legislative instrument:</w:t>
      </w:r>
    </w:p>
    <w:bookmarkEnd w:id="129"/>
    <w:p w14:paraId="5C58D41C" w14:textId="77777777" w:rsidR="00E86304" w:rsidRPr="00FD274F" w:rsidRDefault="00E86304" w:rsidP="00E86304">
      <w:pPr>
        <w:pStyle w:val="BodyPara"/>
      </w:pPr>
      <w:r w:rsidRPr="00FD274F">
        <w:t>is of a minor or machinery nature or does not substantially alter existing arrangements; or</w:t>
      </w:r>
    </w:p>
    <w:p w14:paraId="56CE1DB9" w14:textId="77777777" w:rsidR="00E86304" w:rsidRPr="00FD274F" w:rsidRDefault="00E86304" w:rsidP="00E86304">
      <w:pPr>
        <w:pStyle w:val="BodyPara"/>
      </w:pPr>
      <w:r w:rsidRPr="00FD274F">
        <w:t>is required urgently; or</w:t>
      </w:r>
    </w:p>
    <w:p w14:paraId="3C571D18" w14:textId="77777777" w:rsidR="00E86304" w:rsidRPr="00FD274F" w:rsidRDefault="00E86304" w:rsidP="00E86304">
      <w:pPr>
        <w:pStyle w:val="BodyPara"/>
      </w:pPr>
      <w:r w:rsidRPr="00FD274F">
        <w:t>implements a decision announced in the Budget; or</w:t>
      </w:r>
    </w:p>
    <w:p w14:paraId="75040838" w14:textId="77777777" w:rsidR="00E86304" w:rsidRPr="00FD274F" w:rsidRDefault="00E86304" w:rsidP="00E86304">
      <w:pPr>
        <w:pStyle w:val="BodyPara"/>
      </w:pPr>
      <w:r w:rsidRPr="00FD274F">
        <w:t>is required because of a national security issue; or</w:t>
      </w:r>
    </w:p>
    <w:p w14:paraId="36BC38C4" w14:textId="77777777" w:rsidR="00E86304" w:rsidRPr="00FD274F" w:rsidRDefault="00E86304" w:rsidP="00E86304">
      <w:pPr>
        <w:pStyle w:val="BodyPara"/>
      </w:pPr>
      <w:r w:rsidRPr="00FD274F">
        <w:t>is an instrument for which appropriate consultation has already been undertaken by somebody else; or</w:t>
      </w:r>
    </w:p>
    <w:p w14:paraId="6DDA8ABF" w14:textId="77777777" w:rsidR="00E86304" w:rsidRPr="00FD274F" w:rsidRDefault="00E86304" w:rsidP="00E86304">
      <w:pPr>
        <w:pStyle w:val="BodyPara"/>
      </w:pPr>
      <w:r w:rsidRPr="00FD274F">
        <w:t>relates to employme</w:t>
      </w:r>
      <w:r>
        <w:t>nt; or</w:t>
      </w:r>
    </w:p>
    <w:p w14:paraId="7409AF87" w14:textId="77777777" w:rsidR="00E86304" w:rsidRPr="00FD274F" w:rsidRDefault="00E86304" w:rsidP="00E86304">
      <w:pPr>
        <w:pStyle w:val="BodyPara"/>
      </w:pPr>
      <w:r w:rsidRPr="00FD274F">
        <w:t>relates to the management of, or to the service of members of, the Australian Defence Force.</w:t>
      </w:r>
    </w:p>
    <w:p w14:paraId="329FCED9" w14:textId="77777777" w:rsidR="00E86304" w:rsidRPr="00FD274F" w:rsidRDefault="00E86304" w:rsidP="00E86304">
      <w:pPr>
        <w:pStyle w:val="BodyNum"/>
      </w:pPr>
      <w:r w:rsidRPr="00FD274F">
        <w:rPr>
          <w:szCs w:val="24"/>
        </w:rPr>
        <w:t>Even if an instrument falls into one of these examples, a case</w:t>
      </w:r>
      <w:r>
        <w:rPr>
          <w:szCs w:val="24"/>
        </w:rPr>
        <w:noBreakHyphen/>
      </w:r>
      <w:r w:rsidRPr="00FD274F">
        <w:rPr>
          <w:szCs w:val="24"/>
        </w:rPr>
        <w:t>by</w:t>
      </w:r>
      <w:r>
        <w:rPr>
          <w:szCs w:val="24"/>
        </w:rPr>
        <w:noBreakHyphen/>
      </w:r>
      <w:r w:rsidRPr="00FD274F">
        <w:rPr>
          <w:szCs w:val="24"/>
        </w:rPr>
        <w:t>case assessment is still important and necessary to satisfy the requirements o</w:t>
      </w:r>
      <w:r w:rsidRPr="00521AB3">
        <w:rPr>
          <w:szCs w:val="24"/>
        </w:rPr>
        <w:t xml:space="preserve">f section 17 of the </w:t>
      </w:r>
      <w:hyperlink r:id="rId336" w:history="1">
        <w:r w:rsidRPr="00521AB3">
          <w:rPr>
            <w:rStyle w:val="Hyperlink"/>
          </w:rPr>
          <w:t>LA</w:t>
        </w:r>
      </w:hyperlink>
      <w:r w:rsidRPr="00521AB3">
        <w:rPr>
          <w:rStyle w:val="Hyperlink"/>
        </w:rPr>
        <w:t xml:space="preserve"> </w:t>
      </w:r>
      <w:r w:rsidRPr="00521AB3">
        <w:rPr>
          <w:szCs w:val="24"/>
        </w:rPr>
        <w:t>an</w:t>
      </w:r>
      <w:r w:rsidRPr="00FD274F">
        <w:rPr>
          <w:szCs w:val="24"/>
        </w:rPr>
        <w:t>d of scrutiny bodies.</w:t>
      </w:r>
    </w:p>
    <w:p w14:paraId="37CF179A" w14:textId="77777777" w:rsidR="00E86304" w:rsidRPr="00FD274F" w:rsidRDefault="00E86304" w:rsidP="00E86304">
      <w:pPr>
        <w:pStyle w:val="Head4"/>
      </w:pPr>
      <w:r w:rsidRPr="00FD274F">
        <w:t>Consequences of failure to consult</w:t>
      </w:r>
    </w:p>
    <w:p w14:paraId="1EC92E56" w14:textId="77777777" w:rsidR="00E86304" w:rsidRPr="00FD274F" w:rsidRDefault="00E86304" w:rsidP="00E86304">
      <w:pPr>
        <w:pStyle w:val="BodyNum"/>
      </w:pPr>
      <w:bookmarkStart w:id="130" w:name="_Ref369887049"/>
      <w:r w:rsidRPr="00FD274F">
        <w:t>Failure to consult in relation to a legislative instrument does not affect the validity or enforceability of the instru</w:t>
      </w:r>
      <w:r w:rsidRPr="00521AB3">
        <w:t>ment (</w:t>
      </w:r>
      <w:hyperlink r:id="rId337" w:history="1">
        <w:r w:rsidRPr="00521AB3">
          <w:rPr>
            <w:rStyle w:val="Hyperlink"/>
          </w:rPr>
          <w:t>LA</w:t>
        </w:r>
      </w:hyperlink>
      <w:r w:rsidRPr="00521AB3">
        <w:rPr>
          <w:rStyle w:val="Hyperlink"/>
        </w:rPr>
        <w:t xml:space="preserve"> </w:t>
      </w:r>
      <w:r w:rsidRPr="00521AB3">
        <w:t>s 19). Ho</w:t>
      </w:r>
      <w:r w:rsidRPr="00FD274F">
        <w:t>wever, the rule</w:t>
      </w:r>
      <w:r>
        <w:noBreakHyphen/>
      </w:r>
      <w:r w:rsidRPr="00FD274F">
        <w:t xml:space="preserve">maker must explain why consultation was unnecessary or inappropriate in the explanatory statement that is registered and tabled with the instrument in the Parliament </w:t>
      </w:r>
      <w:r w:rsidRPr="00980B37">
        <w:t xml:space="preserve">(see also </w:t>
      </w:r>
      <w:hyperlink w:anchor="Chapter8" w:history="1">
        <w:r w:rsidRPr="00980B37">
          <w:rPr>
            <w:rStyle w:val="Hyperlink"/>
          </w:rPr>
          <w:t xml:space="preserve">Chapter </w:t>
        </w:r>
        <w:r>
          <w:rPr>
            <w:rStyle w:val="Hyperlink"/>
          </w:rPr>
          <w:t>7</w:t>
        </w:r>
      </w:hyperlink>
      <w:r w:rsidRPr="00980B37">
        <w:t>).</w:t>
      </w:r>
      <w:bookmarkEnd w:id="130"/>
    </w:p>
    <w:p w14:paraId="27036658" w14:textId="77777777" w:rsidR="00E86304" w:rsidRDefault="00E86304" w:rsidP="00E86304">
      <w:pPr>
        <w:pStyle w:val="Head3"/>
      </w:pPr>
      <w:bookmarkStart w:id="131" w:name="_Toc238117564"/>
      <w:bookmarkStart w:id="132" w:name="_Hlk175829784"/>
      <w:r>
        <w:t>Requirement to assess policy impacts before making</w:t>
      </w:r>
      <w:bookmarkEnd w:id="131"/>
    </w:p>
    <w:p w14:paraId="487A1449" w14:textId="77777777" w:rsidR="00E86304" w:rsidRDefault="00E86304" w:rsidP="00E86304">
      <w:pPr>
        <w:pStyle w:val="BodyNum"/>
      </w:pPr>
      <w:r>
        <w:t>Before the decision is taken to make an instrument, a preliminary assessment</w:t>
      </w:r>
      <w:r>
        <w:rPr>
          <w:rStyle w:val="FootnoteReference"/>
        </w:rPr>
        <w:footnoteReference w:id="21"/>
      </w:r>
      <w:r>
        <w:t xml:space="preserve"> must be provided to the Office of Impact Analysis (</w:t>
      </w:r>
      <w:proofErr w:type="spellStart"/>
      <w:r>
        <w:t>OIA</w:t>
      </w:r>
      <w:proofErr w:type="spellEnd"/>
      <w:r>
        <w:t>) to determine whether an Impact Analysis is required. An Impact Analysis is required for any policy proposal or action of government, with an expectation of compliance, that would result in a more than minor change in behaviour or impact for people, businesses or community organisations. Further details regarding Impact Analysis requirements are available in the Australian Government Guide to Policy Impact Analysis.</w:t>
      </w:r>
      <w:r>
        <w:rPr>
          <w:rStyle w:val="FootnoteReference"/>
        </w:rPr>
        <w:footnoteReference w:id="22"/>
      </w:r>
    </w:p>
    <w:p w14:paraId="0E6917F4" w14:textId="77777777" w:rsidR="00E86304" w:rsidRDefault="00E86304" w:rsidP="00E86304">
      <w:pPr>
        <w:pStyle w:val="BodyNum"/>
      </w:pPr>
      <w:r>
        <w:lastRenderedPageBreak/>
        <w:t xml:space="preserve">For the remaking of an instrument due to sunset, Impact Analysis requirements for various scenarios are laid out in the </w:t>
      </w:r>
      <w:proofErr w:type="spellStart"/>
      <w:r>
        <w:t>OIA’s</w:t>
      </w:r>
      <w:proofErr w:type="spellEnd"/>
      <w:r>
        <w:t xml:space="preserve"> Sunsetting Legislative Instruments Guidance Note.</w:t>
      </w:r>
      <w:r>
        <w:rPr>
          <w:rStyle w:val="FootnoteReference"/>
        </w:rPr>
        <w:footnoteReference w:id="23"/>
      </w:r>
    </w:p>
    <w:p w14:paraId="70C8A08A" w14:textId="77777777" w:rsidR="00E86304" w:rsidRDefault="00E86304" w:rsidP="00E86304">
      <w:pPr>
        <w:pStyle w:val="BodyNum"/>
      </w:pPr>
      <w:r>
        <w:t xml:space="preserve">Where an Impact Analysis is required, the </w:t>
      </w:r>
      <w:proofErr w:type="spellStart"/>
      <w:r>
        <w:t>OIA</w:t>
      </w:r>
      <w:proofErr w:type="spellEnd"/>
      <w:r>
        <w:t xml:space="preserve"> assesses the quality of the analysis and the process involved in developing that analysis. Following a final assessment by the </w:t>
      </w:r>
      <w:proofErr w:type="spellStart"/>
      <w:r>
        <w:t>OIA</w:t>
      </w:r>
      <w:proofErr w:type="spellEnd"/>
      <w:r>
        <w:t>, an Impact Analysis may be assessed as exemplary practice, good practice, adequate or insufficient. An Impact Analysis assessed as insufficient means the process and analysis is of poor quality and should not be used as a basis for decision making. However, an insufficient Impact Analysis does not invalidate an instrument, but will likely attract unfavourable scrutiny.</w:t>
      </w:r>
      <w:r>
        <w:rPr>
          <w:rStyle w:val="FootnoteReference"/>
        </w:rPr>
        <w:footnoteReference w:id="24"/>
      </w:r>
      <w:r>
        <w:t xml:space="preserve"> More information on the current Impact Analysis requirements is available from the </w:t>
      </w:r>
      <w:proofErr w:type="spellStart"/>
      <w:r>
        <w:t>OIA</w:t>
      </w:r>
      <w:proofErr w:type="spellEnd"/>
      <w:r>
        <w:t xml:space="preserve"> website</w:t>
      </w:r>
      <w:r>
        <w:rPr>
          <w:rStyle w:val="FootnoteReference"/>
        </w:rPr>
        <w:footnoteReference w:id="25"/>
      </w:r>
      <w:r>
        <w:t xml:space="preserve"> and on request (</w:t>
      </w:r>
      <w:hyperlink r:id="rId338" w:history="1">
        <w:r>
          <w:rPr>
            <w:rStyle w:val="Hyperlink"/>
          </w:rPr>
          <w:t>helpdesk</w:t>
        </w:r>
        <w:r>
          <w:rPr>
            <w:rStyle w:val="Hyperlink"/>
          </w:rPr>
          <w:noBreakHyphen/>
          <w:t>OIA@pmc.gov.au</w:t>
        </w:r>
      </w:hyperlink>
      <w:r>
        <w:rPr>
          <w:rStyle w:val="Hyperlink"/>
        </w:rPr>
        <w:t xml:space="preserve"> </w:t>
      </w:r>
      <w:r>
        <w:t>or (02) 6271 6270).</w:t>
      </w:r>
    </w:p>
    <w:p w14:paraId="5BC3B11D" w14:textId="77777777" w:rsidR="00E86304" w:rsidRDefault="00E86304" w:rsidP="00E86304">
      <w:pPr>
        <w:pStyle w:val="BodyNum"/>
      </w:pPr>
      <w:r>
        <w:t>Note also that if an Impact Analysis that relates to an instrument has been completed, the entire Impact Analysis must be included in, or attached to, the instrument’s explanatory statement.</w:t>
      </w:r>
    </w:p>
    <w:p w14:paraId="7D6E7D6C" w14:textId="77777777" w:rsidR="00E86304" w:rsidRPr="00FD274F" w:rsidRDefault="00E86304" w:rsidP="00E86304">
      <w:pPr>
        <w:pStyle w:val="Head3"/>
      </w:pPr>
      <w:bookmarkStart w:id="133" w:name="_Toc238117565"/>
      <w:bookmarkEnd w:id="132"/>
      <w:r w:rsidRPr="00FD274F">
        <w:t>Other requirements to consider before making</w:t>
      </w:r>
      <w:bookmarkEnd w:id="133"/>
    </w:p>
    <w:p w14:paraId="12CE9AEA" w14:textId="77777777" w:rsidR="00E86304" w:rsidRPr="00FD274F" w:rsidRDefault="00E86304" w:rsidP="00E86304">
      <w:pPr>
        <w:pStyle w:val="BodyNum"/>
      </w:pPr>
      <w:r w:rsidRPr="00FD274F">
        <w:t>There are a range of other requirements a rule</w:t>
      </w:r>
      <w:r>
        <w:noBreakHyphen/>
      </w:r>
      <w:r w:rsidRPr="00FD274F">
        <w:t>maker may need to consider before making a legislative instrument or approving an explanatory statement. For example, as a matter of process, before making an instrument:</w:t>
      </w:r>
    </w:p>
    <w:p w14:paraId="1B19AE18" w14:textId="77777777" w:rsidR="00E86304" w:rsidRPr="00FD274F" w:rsidRDefault="00E86304" w:rsidP="00E86304">
      <w:pPr>
        <w:pStyle w:val="BodyPara"/>
      </w:pPr>
      <w:r w:rsidRPr="00FD274F">
        <w:t>during the caretaker (election) period—it may be necessary to consider the caretaker conventions, even if the rule</w:t>
      </w:r>
      <w:r>
        <w:noBreakHyphen/>
      </w:r>
      <w:r w:rsidRPr="00FD274F">
        <w:t>maker is a statutory authority or officeholder rather than a Minister or department</w:t>
      </w:r>
      <w:r w:rsidRPr="00FD274F">
        <w:rPr>
          <w:rStyle w:val="FootnoteReference"/>
        </w:rPr>
        <w:footnoteReference w:id="26"/>
      </w:r>
      <w:r>
        <w:t>; or</w:t>
      </w:r>
    </w:p>
    <w:p w14:paraId="43389334" w14:textId="77777777" w:rsidR="00E86304" w:rsidRPr="00FD274F" w:rsidRDefault="00E86304" w:rsidP="00E86304">
      <w:pPr>
        <w:pStyle w:val="BodyPara"/>
      </w:pPr>
      <w:r w:rsidRPr="00FD274F">
        <w:t>that is the same in substance as an instrument that has been registered or disallowed recently—it may be neces</w:t>
      </w:r>
      <w:r w:rsidRPr="00980B37">
        <w:t xml:space="preserve">sary to consider the restrictions on remaking that apply before and after tabling (see </w:t>
      </w:r>
      <w:hyperlink w:anchor="Chapter9" w:history="1">
        <w:r w:rsidRPr="00980B37">
          <w:rPr>
            <w:rStyle w:val="Hyperlink"/>
          </w:rPr>
          <w:t xml:space="preserve">Chapter </w:t>
        </w:r>
        <w:r>
          <w:rPr>
            <w:rStyle w:val="Hyperlink"/>
          </w:rPr>
          <w:t>8</w:t>
        </w:r>
      </w:hyperlink>
      <w:r w:rsidRPr="00980B37">
        <w:t>);</w:t>
      </w:r>
      <w:r w:rsidRPr="00FD274F">
        <w:t xml:space="preserve"> or</w:t>
      </w:r>
    </w:p>
    <w:p w14:paraId="6C740C7A" w14:textId="77777777" w:rsidR="00E86304" w:rsidRPr="00FD274F" w:rsidRDefault="00E86304" w:rsidP="00E86304">
      <w:pPr>
        <w:pStyle w:val="BodyPara"/>
      </w:pPr>
      <w:r w:rsidRPr="00FD274F">
        <w:t xml:space="preserve">that is intended to amend or replace an instrument that has already </w:t>
      </w:r>
      <w:proofErr w:type="spellStart"/>
      <w:r w:rsidRPr="00FD274F">
        <w:t>sunsetted</w:t>
      </w:r>
      <w:proofErr w:type="spellEnd"/>
      <w:r w:rsidRPr="00FD274F">
        <w:t xml:space="preserve"> or will sunset soon—it is necessary to consider a range of other issues (see </w:t>
      </w:r>
      <w:hyperlink w:anchor="Chapter10" w:history="1">
        <w:r w:rsidRPr="00980B37">
          <w:rPr>
            <w:rStyle w:val="Hyperlink"/>
          </w:rPr>
          <w:t xml:space="preserve">Chapter </w:t>
        </w:r>
        <w:r>
          <w:rPr>
            <w:rStyle w:val="Hyperlink"/>
          </w:rPr>
          <w:t>9</w:t>
        </w:r>
      </w:hyperlink>
      <w:r w:rsidRPr="00980B37">
        <w:t>).</w:t>
      </w:r>
    </w:p>
    <w:p w14:paraId="3B0F9550" w14:textId="77777777" w:rsidR="00E86304" w:rsidRDefault="00E86304" w:rsidP="00E86304">
      <w:pPr>
        <w:pStyle w:val="Head2"/>
        <w:sectPr w:rsidR="00E86304" w:rsidSect="00E86304">
          <w:headerReference w:type="default" r:id="rId339"/>
          <w:footerReference w:type="default" r:id="rId340"/>
          <w:pgSz w:w="11907" w:h="16839" w:code="9"/>
          <w:pgMar w:top="1440" w:right="1440" w:bottom="1418" w:left="1440" w:header="720" w:footer="720" w:gutter="0"/>
          <w:cols w:sep="1" w:space="567"/>
          <w:docGrid w:linePitch="360"/>
        </w:sectPr>
      </w:pPr>
      <w:bookmarkStart w:id="134" w:name="Chapter8"/>
    </w:p>
    <w:p w14:paraId="5FDFF49A" w14:textId="77777777" w:rsidR="00E86304" w:rsidRPr="00FD274F" w:rsidRDefault="00E86304" w:rsidP="00E86304">
      <w:pPr>
        <w:pStyle w:val="Head2"/>
      </w:pPr>
      <w:bookmarkStart w:id="135" w:name="_Toc238117566"/>
      <w:r w:rsidRPr="00FD274F">
        <w:lastRenderedPageBreak/>
        <w:t xml:space="preserve">Chapter </w:t>
      </w:r>
      <w:r>
        <w:t>7</w:t>
      </w:r>
      <w:r w:rsidRPr="00FD274F">
        <w:t>—Explanatory statements</w:t>
      </w:r>
      <w:bookmarkEnd w:id="135"/>
    </w:p>
    <w:bookmarkEnd w:id="134"/>
    <w:p w14:paraId="2DB7B048" w14:textId="77777777" w:rsidR="00E86304" w:rsidRPr="00FD274F" w:rsidRDefault="00E86304" w:rsidP="00E86304">
      <w:pPr>
        <w:pStyle w:val="SundryBoxHeadBold"/>
      </w:pPr>
      <w:r>
        <w:t>Main points</w:t>
      </w:r>
    </w:p>
    <w:p w14:paraId="7AF2890D" w14:textId="77777777" w:rsidR="00E86304" w:rsidRPr="00FD274F" w:rsidRDefault="00E86304" w:rsidP="00E86304">
      <w:pPr>
        <w:pStyle w:val="SundryBoxBullet"/>
      </w:pPr>
      <w:r w:rsidRPr="00FD274F">
        <w:t>•</w:t>
      </w:r>
      <w:r w:rsidRPr="00FD274F">
        <w:tab/>
        <w:t>Each new legislative instrument must have an explanatory statement approved by the rule</w:t>
      </w:r>
      <w:r>
        <w:noBreakHyphen/>
      </w:r>
      <w:r w:rsidRPr="00FD274F">
        <w:t>maker, but a single statement may relate to one or more legislative instruments.</w:t>
      </w:r>
    </w:p>
    <w:p w14:paraId="4580C231" w14:textId="77777777" w:rsidR="00E86304" w:rsidRPr="00FD274F" w:rsidRDefault="00E86304" w:rsidP="00E86304">
      <w:pPr>
        <w:pStyle w:val="SundryBoxBullet"/>
      </w:pPr>
      <w:bookmarkStart w:id="136" w:name="_Hlk183785938"/>
      <w:r w:rsidRPr="00FD274F">
        <w:t>•</w:t>
      </w:r>
      <w:r w:rsidRPr="00FD274F">
        <w:tab/>
        <w:t>An explanatory statement must contain certain information and should also take into account the requirements of the Federal Executive Council (</w:t>
      </w:r>
      <w:proofErr w:type="spellStart"/>
      <w:r w:rsidRPr="00FD274F">
        <w:t>ExCo</w:t>
      </w:r>
      <w:proofErr w:type="spellEnd"/>
      <w:r w:rsidRPr="00FD274F">
        <w:t>) Secretariat and of parliamentary committees if applicable.</w:t>
      </w:r>
    </w:p>
    <w:bookmarkEnd w:id="136"/>
    <w:p w14:paraId="77A69F0C" w14:textId="77777777" w:rsidR="00E86304" w:rsidRPr="00FD274F" w:rsidRDefault="00E86304" w:rsidP="00E86304">
      <w:pPr>
        <w:pStyle w:val="SundryBoxBullet"/>
      </w:pPr>
      <w:r w:rsidRPr="00FD274F">
        <w:t>•</w:t>
      </w:r>
      <w:r w:rsidRPr="00FD274F">
        <w:tab/>
        <w:t xml:space="preserve">The explanatory statement must be lodged with </w:t>
      </w:r>
      <w:proofErr w:type="spellStart"/>
      <w:r w:rsidRPr="00FD274F">
        <w:t>OPC</w:t>
      </w:r>
      <w:proofErr w:type="spellEnd"/>
      <w:r w:rsidRPr="00FD274F">
        <w:t xml:space="preserve"> for registration with, or as soon as practicable after, the legislative instrument to which it relates.</w:t>
      </w:r>
    </w:p>
    <w:p w14:paraId="4E3099FA" w14:textId="77777777" w:rsidR="00E86304" w:rsidRPr="00FD274F" w:rsidRDefault="00E86304" w:rsidP="00E86304">
      <w:pPr>
        <w:pStyle w:val="SundryBoxBullet"/>
      </w:pPr>
      <w:r w:rsidRPr="00FD274F">
        <w:t>•</w:t>
      </w:r>
      <w:r w:rsidRPr="00FD274F">
        <w:tab/>
        <w:t>The explanatory statement is likely to attract question and comment if it is not able to be tabled with the instrument or does not meet parliamentary requirements.</w:t>
      </w:r>
    </w:p>
    <w:p w14:paraId="398FE729" w14:textId="77777777" w:rsidR="00E86304" w:rsidRPr="00FD274F" w:rsidRDefault="00E86304" w:rsidP="00E86304">
      <w:pPr>
        <w:pStyle w:val="SundryBoxBullet"/>
      </w:pPr>
      <w:r w:rsidRPr="00FD274F">
        <w:t>•</w:t>
      </w:r>
      <w:r w:rsidRPr="00FD274F">
        <w:tab/>
        <w:t>If the initial explanatory statement provided by a rule</w:t>
      </w:r>
      <w:r>
        <w:noBreakHyphen/>
      </w:r>
      <w:r w:rsidRPr="00FD274F">
        <w:t xml:space="preserve">maker is incomplete or inaccurate, it may be possible to lodge a supplementary or replacement statement with </w:t>
      </w:r>
      <w:proofErr w:type="spellStart"/>
      <w:r w:rsidRPr="00FD274F">
        <w:t>OPC</w:t>
      </w:r>
      <w:proofErr w:type="spellEnd"/>
      <w:r>
        <w:t xml:space="preserve"> for registration on the Register</w:t>
      </w:r>
      <w:r w:rsidRPr="00FD274F">
        <w:t>.</w:t>
      </w:r>
    </w:p>
    <w:p w14:paraId="60A3D37A" w14:textId="77777777" w:rsidR="00E86304" w:rsidRPr="00FD274F" w:rsidRDefault="00E86304" w:rsidP="00E86304">
      <w:pPr>
        <w:pStyle w:val="Head3"/>
      </w:pPr>
      <w:bookmarkStart w:id="137" w:name="_Toc238117567"/>
      <w:r>
        <w:t>General</w:t>
      </w:r>
      <w:bookmarkEnd w:id="137"/>
    </w:p>
    <w:p w14:paraId="07F4E962" w14:textId="77777777" w:rsidR="00E86304" w:rsidRPr="00FD274F" w:rsidRDefault="00E86304" w:rsidP="00E86304">
      <w:pPr>
        <w:pStyle w:val="BodyNum"/>
      </w:pPr>
      <w:r w:rsidRPr="00FD274F">
        <w:t>Explanatory sta</w:t>
      </w:r>
      <w:r w:rsidRPr="002C0EF2">
        <w:t xml:space="preserve">tements are an important resource for readers of legislative instruments and, under section 15AB of the </w:t>
      </w:r>
      <w:hyperlink r:id="rId341" w:history="1">
        <w:hyperlink r:id="rId342" w:history="1">
          <w:r w:rsidRPr="002C0EF2">
            <w:rPr>
              <w:rStyle w:val="Hyperlink"/>
              <w:i/>
            </w:rPr>
            <w:t>Acts Interpretation Act 1901</w:t>
          </w:r>
        </w:hyperlink>
      </w:hyperlink>
      <w:r w:rsidRPr="002C0EF2">
        <w:t>,</w:t>
      </w:r>
      <w:r w:rsidRPr="00FD274F">
        <w:t xml:space="preserve"> may be used by a court to help interpret an instrument. A well</w:t>
      </w:r>
      <w:r>
        <w:noBreakHyphen/>
      </w:r>
      <w:r w:rsidRPr="00FD274F">
        <w:t>prepared explanatory statement is also desirable to facilitate:</w:t>
      </w:r>
    </w:p>
    <w:p w14:paraId="59AA03F4" w14:textId="77777777" w:rsidR="00E86304" w:rsidRPr="00FD274F" w:rsidRDefault="00E86304" w:rsidP="00E86304">
      <w:pPr>
        <w:pStyle w:val="BodyPara"/>
      </w:pPr>
      <w:r w:rsidRPr="00FD274F">
        <w:t>parliamentary scrutiny of the legislative instrument; and</w:t>
      </w:r>
    </w:p>
    <w:p w14:paraId="6A66A00C" w14:textId="77777777" w:rsidR="00E86304" w:rsidRPr="00FD274F" w:rsidRDefault="00E86304" w:rsidP="00E86304">
      <w:pPr>
        <w:pStyle w:val="BodyPara"/>
      </w:pPr>
      <w:r w:rsidRPr="00FD274F">
        <w:t>compliance with the instrument by agencies and external stakeholders.</w:t>
      </w:r>
    </w:p>
    <w:p w14:paraId="7E16E896" w14:textId="77777777" w:rsidR="00E86304" w:rsidRPr="00FD274F" w:rsidRDefault="00E86304" w:rsidP="00E86304">
      <w:pPr>
        <w:pStyle w:val="BodyNum"/>
      </w:pPr>
      <w:bookmarkStart w:id="138" w:name="_Ref369784874"/>
      <w:r w:rsidRPr="00FD274F">
        <w:t xml:space="preserve">Although each legislative instrument must be accompanied by an explanatory statement, a single explanatory statement may relate to one or more legislative instruments </w:t>
      </w:r>
      <w:r w:rsidRPr="001A4E0D">
        <w:t>(</w:t>
      </w:r>
      <w:hyperlink r:id="rId343" w:history="1">
        <w:hyperlink r:id="rId344" w:history="1">
          <w:r w:rsidRPr="001A4E0D">
            <w:rPr>
              <w:rStyle w:val="Hyperlink"/>
            </w:rPr>
            <w:t>LA</w:t>
          </w:r>
        </w:hyperlink>
        <w:r w:rsidRPr="001A4E0D">
          <w:rPr>
            <w:rStyle w:val="Hyperlink"/>
          </w:rPr>
          <w:t xml:space="preserve"> </w:t>
        </w:r>
      </w:hyperlink>
      <w:r w:rsidRPr="001A4E0D">
        <w:t>s 15J(4)). T</w:t>
      </w:r>
      <w:r w:rsidRPr="00FD274F">
        <w:t>his may be appropriate if, for example, several instruments are made under the same enabling legislation at the same time. However, careful consideration should be given to the content and timing requirements outlined i</w:t>
      </w:r>
      <w:r w:rsidRPr="00411168">
        <w:t>n paragraphs</w:t>
      </w:r>
      <w:r>
        <w:t xml:space="preserve"> </w:t>
      </w:r>
      <w:r>
        <w:fldChar w:fldCharType="begin"/>
      </w:r>
      <w:r>
        <w:instrText xml:space="preserve"> REF _Ref184284000 \r \h </w:instrText>
      </w:r>
      <w:r>
        <w:fldChar w:fldCharType="separate"/>
      </w:r>
      <w:r>
        <w:t>238</w:t>
      </w:r>
      <w:r>
        <w:fldChar w:fldCharType="end"/>
      </w:r>
      <w:r w:rsidRPr="00411168">
        <w:t xml:space="preserve"> and </w:t>
      </w:r>
      <w:r w:rsidRPr="001A4E0D">
        <w:fldChar w:fldCharType="begin"/>
      </w:r>
      <w:r w:rsidRPr="00411168">
        <w:instrText xml:space="preserve"> REF _Ref29483756 \r \h </w:instrText>
      </w:r>
      <w:r>
        <w:rPr>
          <w:highlight w:val="yellow"/>
        </w:rPr>
        <w:instrText xml:space="preserve"> \* MERGEFORMAT </w:instrText>
      </w:r>
      <w:r w:rsidRPr="001A4E0D">
        <w:fldChar w:fldCharType="separate"/>
      </w:r>
      <w:r>
        <w:t>265</w:t>
      </w:r>
      <w:r w:rsidRPr="001A4E0D">
        <w:fldChar w:fldCharType="end"/>
      </w:r>
      <w:r w:rsidRPr="00411168">
        <w:t>.</w:t>
      </w:r>
      <w:bookmarkEnd w:id="138"/>
    </w:p>
    <w:p w14:paraId="4FE5C8D7" w14:textId="77777777" w:rsidR="00E86304" w:rsidRPr="00FD274F" w:rsidRDefault="00E86304" w:rsidP="00E86304">
      <w:pPr>
        <w:pStyle w:val="Head3"/>
      </w:pPr>
      <w:bookmarkStart w:id="139" w:name="_Toc238117568"/>
      <w:r>
        <w:t xml:space="preserve">Responsibility </w:t>
      </w:r>
      <w:r w:rsidRPr="00FD274F">
        <w:t>for approving explanatory statements</w:t>
      </w:r>
      <w:bookmarkEnd w:id="139"/>
    </w:p>
    <w:p w14:paraId="3D56ADCE" w14:textId="77777777" w:rsidR="00E86304" w:rsidRPr="00FD274F" w:rsidRDefault="00E86304" w:rsidP="00E86304">
      <w:pPr>
        <w:pStyle w:val="BodyNum"/>
      </w:pPr>
      <w:r w:rsidRPr="00FD274F">
        <w:t>Agencies must ensure that any explanatory statement that they lodge in relation to an instrument has been approved by the relevant rule</w:t>
      </w:r>
      <w:r>
        <w:noBreakHyphen/>
      </w:r>
      <w:r w:rsidRPr="00FD274F">
        <w:t xml:space="preserve">maker as required by </w:t>
      </w:r>
      <w:r w:rsidRPr="001A4E0D">
        <w:t xml:space="preserve">section 15J of the </w:t>
      </w:r>
      <w:hyperlink r:id="rId345" w:history="1">
        <w:hyperlink r:id="rId346" w:history="1">
          <w:r w:rsidRPr="001A4E0D">
            <w:rPr>
              <w:rStyle w:val="Hyperlink"/>
            </w:rPr>
            <w:t>LA</w:t>
          </w:r>
        </w:hyperlink>
      </w:hyperlink>
      <w:r w:rsidRPr="001A4E0D">
        <w:t>. It is usua</w:t>
      </w:r>
      <w:r w:rsidRPr="00FD274F">
        <w:t>l to submit explanatory statements to rule</w:t>
      </w:r>
      <w:r>
        <w:noBreakHyphen/>
      </w:r>
      <w:r w:rsidRPr="00FD274F">
        <w:t xml:space="preserve">makers at the same time as the legislative instruments that they explain so that all related documents can be lodged, </w:t>
      </w:r>
      <w:r>
        <w:t>registered and tabled together.</w:t>
      </w:r>
    </w:p>
    <w:p w14:paraId="41569F89" w14:textId="77777777" w:rsidR="00E86304" w:rsidRPr="00FD274F" w:rsidRDefault="00E86304" w:rsidP="00E86304">
      <w:pPr>
        <w:pStyle w:val="BodyNum"/>
        <w:keepLines/>
      </w:pPr>
      <w:r w:rsidRPr="00FD274F">
        <w:lastRenderedPageBreak/>
        <w:t>In the case of a legislative instrument made by the Governor</w:t>
      </w:r>
      <w:r>
        <w:noBreakHyphen/>
      </w:r>
      <w:r w:rsidRPr="00FD274F">
        <w:t>General, the explanatory statement can be approved by the relevant Minis</w:t>
      </w:r>
      <w:r w:rsidRPr="00277499">
        <w:t xml:space="preserve">ter (see </w:t>
      </w:r>
      <w:hyperlink r:id="rId347" w:history="1">
        <w:r w:rsidRPr="00277499">
          <w:rPr>
            <w:rStyle w:val="Hyperlink"/>
          </w:rPr>
          <w:t>LA</w:t>
        </w:r>
      </w:hyperlink>
      <w:r w:rsidRPr="00277499">
        <w:rPr>
          <w:rStyle w:val="Hyperlink"/>
        </w:rPr>
        <w:t xml:space="preserve"> </w:t>
      </w:r>
      <w:r w:rsidRPr="00277499">
        <w:t>s 6(1)(a)).</w:t>
      </w:r>
      <w:r w:rsidRPr="00FD274F">
        <w:t xml:space="preserve"> The explanatory statement does not generally need to be submitted to </w:t>
      </w:r>
      <w:proofErr w:type="spellStart"/>
      <w:r w:rsidRPr="00FD274F">
        <w:t>ExCo</w:t>
      </w:r>
      <w:proofErr w:type="spellEnd"/>
      <w:r w:rsidRPr="00FD274F">
        <w:t xml:space="preserve">, and should not be confused with the explanatory memorandum that is required for </w:t>
      </w:r>
      <w:proofErr w:type="spellStart"/>
      <w:r w:rsidRPr="00FD274F">
        <w:t>ExCo</w:t>
      </w:r>
      <w:proofErr w:type="spellEnd"/>
      <w:r w:rsidRPr="00FD274F">
        <w:t xml:space="preserve"> purposes</w:t>
      </w:r>
      <w:r w:rsidRPr="00277499">
        <w:t xml:space="preserve">. For further information on </w:t>
      </w:r>
      <w:proofErr w:type="spellStart"/>
      <w:r w:rsidRPr="00277499">
        <w:t>ExCo</w:t>
      </w:r>
      <w:proofErr w:type="spellEnd"/>
      <w:r w:rsidRPr="00277499">
        <w:t xml:space="preserve"> requirements and processes, see the Federal Executive Council Handbook</w:t>
      </w:r>
      <w:r w:rsidRPr="00277499">
        <w:rPr>
          <w:rStyle w:val="FootnoteReference"/>
        </w:rPr>
        <w:footnoteReference w:id="27"/>
      </w:r>
      <w:r w:rsidRPr="00277499">
        <w:t>.</w:t>
      </w:r>
    </w:p>
    <w:p w14:paraId="33333398" w14:textId="77777777" w:rsidR="00E86304" w:rsidRPr="00FD274F" w:rsidRDefault="00E86304" w:rsidP="00E86304">
      <w:pPr>
        <w:pStyle w:val="Head3"/>
      </w:pPr>
      <w:bookmarkStart w:id="140" w:name="_Toc238117569"/>
      <w:r>
        <w:t>Content of</w:t>
      </w:r>
      <w:r w:rsidRPr="00FD274F">
        <w:t xml:space="preserve"> explanatory statements</w:t>
      </w:r>
      <w:bookmarkEnd w:id="140"/>
    </w:p>
    <w:p w14:paraId="4E4F2C7A" w14:textId="77777777" w:rsidR="00E86304" w:rsidRPr="00FD274F" w:rsidRDefault="00E86304" w:rsidP="00E86304">
      <w:pPr>
        <w:pStyle w:val="BodyNum"/>
      </w:pPr>
      <w:r w:rsidRPr="00FD274F">
        <w:t>The explanatory statement for an instrument should be as clear and helpful as possible. The more complex the instrument, the more extensive the explanatory statement needs to be to achieve this.</w:t>
      </w:r>
    </w:p>
    <w:p w14:paraId="4E6A317E" w14:textId="77777777" w:rsidR="00E86304" w:rsidRPr="00FD274F" w:rsidRDefault="00E86304" w:rsidP="00E86304">
      <w:pPr>
        <w:pStyle w:val="BodyNum"/>
      </w:pPr>
      <w:bookmarkStart w:id="141" w:name="_Ref367446445"/>
      <w:r w:rsidRPr="00FD274F">
        <w:t>To make it easy to identify an explanatory statement and the instrument that it explains, it is usual to present the following information at the top of the first page:</w:t>
      </w:r>
    </w:p>
    <w:p w14:paraId="5AF97B33" w14:textId="77777777" w:rsidR="00E86304" w:rsidRPr="00FD274F" w:rsidRDefault="00E86304" w:rsidP="00E86304">
      <w:pPr>
        <w:pStyle w:val="BodyPara"/>
      </w:pPr>
      <w:r w:rsidRPr="00FD274F">
        <w:t>the name of the document e.g. “Explanatory Statement” (if necessary prefaced by the words “Replacement” or “Supplementary”); and</w:t>
      </w:r>
    </w:p>
    <w:p w14:paraId="2FF837DC" w14:textId="77777777" w:rsidR="00E86304" w:rsidRPr="00FD274F" w:rsidRDefault="00E86304" w:rsidP="00E86304">
      <w:pPr>
        <w:pStyle w:val="BodyPara"/>
      </w:pPr>
      <w:r w:rsidRPr="00FD274F">
        <w:t>the complete name of the instrument to which the statement relates, as specified in the instrument.</w:t>
      </w:r>
    </w:p>
    <w:p w14:paraId="6083AEB7" w14:textId="77777777" w:rsidR="00E86304" w:rsidRPr="00FD274F" w:rsidRDefault="00E86304" w:rsidP="00E86304">
      <w:pPr>
        <w:pStyle w:val="BodyNum"/>
      </w:pPr>
      <w:bookmarkStart w:id="142" w:name="_Ref184284000"/>
      <w:r w:rsidRPr="00FD274F">
        <w:t>When it comes to the content of the statement, se</w:t>
      </w:r>
      <w:r w:rsidRPr="00277499">
        <w:t xml:space="preserve">ction 15J of the </w:t>
      </w:r>
      <w:hyperlink r:id="rId348" w:history="1">
        <w:hyperlink r:id="rId349" w:history="1">
          <w:r w:rsidRPr="00277499">
            <w:rPr>
              <w:rStyle w:val="Hyperlink"/>
            </w:rPr>
            <w:t>LA</w:t>
          </w:r>
        </w:hyperlink>
        <w:r w:rsidRPr="00277499">
          <w:rPr>
            <w:rStyle w:val="Hyperlink"/>
          </w:rPr>
          <w:t xml:space="preserve"> </w:t>
        </w:r>
      </w:hyperlink>
      <w:r w:rsidRPr="00277499">
        <w:t>s</w:t>
      </w:r>
      <w:r w:rsidRPr="00FD274F">
        <w:t>ets out the minimum standards in some detail. An initial or replacement explanatory statement must:</w:t>
      </w:r>
      <w:bookmarkEnd w:id="142"/>
    </w:p>
    <w:bookmarkEnd w:id="141"/>
    <w:p w14:paraId="36D27A5F" w14:textId="77777777" w:rsidR="00E86304" w:rsidRPr="00FD274F" w:rsidRDefault="00E86304" w:rsidP="00E86304">
      <w:pPr>
        <w:pStyle w:val="BodyPara"/>
      </w:pPr>
      <w:r w:rsidRPr="00FD274F">
        <w:t>be approved by the rule</w:t>
      </w:r>
      <w:r>
        <w:noBreakHyphen/>
      </w:r>
      <w:r w:rsidRPr="00FD274F">
        <w:t>maker; and</w:t>
      </w:r>
    </w:p>
    <w:p w14:paraId="43AD6AD3" w14:textId="77777777" w:rsidR="00E86304" w:rsidRPr="00FD274F" w:rsidRDefault="00E86304" w:rsidP="00E86304">
      <w:pPr>
        <w:pStyle w:val="BodyPara"/>
      </w:pPr>
      <w:r w:rsidRPr="00FD274F">
        <w:t>explain the purpose and operation of the instrument; and</w:t>
      </w:r>
    </w:p>
    <w:p w14:paraId="6EE7F219" w14:textId="77777777" w:rsidR="00E86304" w:rsidRPr="00FD274F" w:rsidRDefault="00E86304" w:rsidP="00E86304">
      <w:pPr>
        <w:pStyle w:val="BodyPara"/>
      </w:pPr>
      <w:r w:rsidRPr="00FD274F">
        <w:t>if any documents are incorporated in the instrument by reference—contain a description of the incorporated documents and indicate how they may be obtained; and</w:t>
      </w:r>
    </w:p>
    <w:p w14:paraId="533F93EE" w14:textId="77777777" w:rsidR="00E86304" w:rsidRPr="00FD274F" w:rsidRDefault="00E86304" w:rsidP="00E86304">
      <w:pPr>
        <w:pStyle w:val="BodyPara"/>
      </w:pPr>
      <w:r w:rsidRPr="00FD274F">
        <w:t>if consultation was undertaken under s</w:t>
      </w:r>
      <w:r w:rsidRPr="00277499">
        <w:t xml:space="preserve">ection 17 of the </w:t>
      </w:r>
      <w:hyperlink r:id="rId350" w:history="1">
        <w:hyperlink r:id="rId351" w:history="1">
          <w:r w:rsidRPr="00277499">
            <w:rPr>
              <w:rStyle w:val="Hyperlink"/>
            </w:rPr>
            <w:t>LA</w:t>
          </w:r>
        </w:hyperlink>
        <w:r w:rsidRPr="00277499">
          <w:rPr>
            <w:rStyle w:val="Hyperlink"/>
          </w:rPr>
          <w:t xml:space="preserve"> </w:t>
        </w:r>
      </w:hyperlink>
      <w:r w:rsidRPr="00277499">
        <w:t>b</w:t>
      </w:r>
      <w:r w:rsidRPr="00FD274F">
        <w:t>efore the instrument was made—contain a description of the nature of the consultation; and</w:t>
      </w:r>
    </w:p>
    <w:p w14:paraId="491AEC33" w14:textId="77777777" w:rsidR="00E86304" w:rsidRPr="00FD274F" w:rsidRDefault="00E86304" w:rsidP="00E86304">
      <w:pPr>
        <w:pStyle w:val="BodyPara"/>
      </w:pPr>
      <w:r w:rsidRPr="00FD274F">
        <w:t>if no such consultation was undertaken—explain why no such consultation was undertaken; and</w:t>
      </w:r>
    </w:p>
    <w:p w14:paraId="28E43918" w14:textId="77777777" w:rsidR="00E86304" w:rsidRPr="00FD274F" w:rsidRDefault="00E86304" w:rsidP="00E86304">
      <w:pPr>
        <w:pStyle w:val="BodyPara"/>
      </w:pPr>
      <w:r w:rsidRPr="00FD274F">
        <w:t>if the instrument is disallowable—contain a statement of compatibility prepared unde</w:t>
      </w:r>
      <w:r w:rsidRPr="00277499">
        <w:t xml:space="preserve">r subsection 9(1) of the </w:t>
      </w:r>
      <w:hyperlink r:id="rId352" w:history="1">
        <w:r w:rsidRPr="00277499">
          <w:rPr>
            <w:rStyle w:val="Hyperlink"/>
            <w:i/>
          </w:rPr>
          <w:t>Human Rights (Parliamentary Scrutiny) Act 2011</w:t>
        </w:r>
      </w:hyperlink>
      <w:r w:rsidRPr="00277499">
        <w:t>; and</w:t>
      </w:r>
    </w:p>
    <w:p w14:paraId="566F1C05" w14:textId="77777777" w:rsidR="00E86304" w:rsidRPr="00ED449C" w:rsidRDefault="00E86304" w:rsidP="00E86304">
      <w:pPr>
        <w:pStyle w:val="BodyPara"/>
        <w:rPr>
          <w:spacing w:val="-2"/>
        </w:rPr>
      </w:pPr>
      <w:r w:rsidRPr="00ED449C">
        <w:rPr>
          <w:spacing w:val="-2"/>
        </w:rPr>
        <w:t>contain any other information prescribed by regulation.</w:t>
      </w:r>
    </w:p>
    <w:p w14:paraId="7F92BE89" w14:textId="77777777" w:rsidR="00E86304" w:rsidRPr="00D35347" w:rsidRDefault="00E86304" w:rsidP="00E86304">
      <w:pPr>
        <w:pStyle w:val="BodyNum"/>
        <w:rPr>
          <w:spacing w:val="-2"/>
        </w:rPr>
      </w:pPr>
      <w:r w:rsidRPr="00D35347">
        <w:t xml:space="preserve">An </w:t>
      </w:r>
      <w:r>
        <w:t xml:space="preserve">Act may prescribe certain information that must be included in an </w:t>
      </w:r>
      <w:r w:rsidRPr="00D35347">
        <w:t>explanatory statement</w:t>
      </w:r>
      <w:r w:rsidRPr="00D35347">
        <w:rPr>
          <w:spacing w:val="-2"/>
        </w:rPr>
        <w:t>, for examp</w:t>
      </w:r>
      <w:r w:rsidRPr="00277499">
        <w:rPr>
          <w:spacing w:val="-2"/>
        </w:rPr>
        <w:t xml:space="preserve">le </w:t>
      </w:r>
      <w:hyperlink r:id="rId353" w:history="1">
        <w:hyperlink r:id="rId354" w:history="1">
          <w:r w:rsidRPr="00277499">
            <w:rPr>
              <w:rStyle w:val="Hyperlink"/>
            </w:rPr>
            <w:t>LA</w:t>
          </w:r>
        </w:hyperlink>
        <w:r w:rsidRPr="00277499">
          <w:rPr>
            <w:rStyle w:val="Hyperlink"/>
          </w:rPr>
          <w:t xml:space="preserve"> </w:t>
        </w:r>
      </w:hyperlink>
      <w:r w:rsidRPr="00277499">
        <w:rPr>
          <w:spacing w:val="-2"/>
        </w:rPr>
        <w:t>s 51(5) and 51A(4).</w:t>
      </w:r>
    </w:p>
    <w:p w14:paraId="3BA47BFD" w14:textId="77777777" w:rsidR="00E86304" w:rsidRPr="00FD274F" w:rsidRDefault="00E86304" w:rsidP="00E86304">
      <w:pPr>
        <w:pStyle w:val="BodyNum"/>
      </w:pPr>
      <w:r w:rsidRPr="00FD274F">
        <w:lastRenderedPageBreak/>
        <w:t>A supplementary explanatory statement must also be approved by the rule</w:t>
      </w:r>
      <w:r>
        <w:noBreakHyphen/>
      </w:r>
      <w:r w:rsidRPr="00FD274F">
        <w:t>maker and must contain any other information prescribed by regula</w:t>
      </w:r>
      <w:r>
        <w:t>tion.</w:t>
      </w:r>
    </w:p>
    <w:p w14:paraId="30357A3E" w14:textId="77777777" w:rsidR="00E86304" w:rsidRPr="00FD274F" w:rsidRDefault="00E86304" w:rsidP="00E86304">
      <w:pPr>
        <w:pStyle w:val="BodyNum"/>
      </w:pPr>
      <w:r w:rsidRPr="00FD274F">
        <w:t>It may be necessary or desirable to include other content to provide assurance that key legal requirements or issues have been considere</w:t>
      </w:r>
      <w:r w:rsidRPr="00B53AAE">
        <w:t xml:space="preserve">d, and to facilitate parliamentary scrutiny. Other content considerations are discussed in paragraphs </w:t>
      </w:r>
      <w:r w:rsidRPr="00277499">
        <w:fldChar w:fldCharType="begin"/>
      </w:r>
      <w:r w:rsidRPr="00B53AAE">
        <w:instrText xml:space="preserve"> REF _Ref369786489 \r \h  \* MERGEFORMAT </w:instrText>
      </w:r>
      <w:r w:rsidRPr="00277499">
        <w:fldChar w:fldCharType="separate"/>
      </w:r>
      <w:r>
        <w:t>249</w:t>
      </w:r>
      <w:r w:rsidRPr="00277499">
        <w:fldChar w:fldCharType="end"/>
      </w:r>
      <w:r w:rsidRPr="00B53AAE">
        <w:t xml:space="preserve"> to </w:t>
      </w:r>
      <w:r w:rsidRPr="00277499">
        <w:fldChar w:fldCharType="begin"/>
      </w:r>
      <w:r w:rsidRPr="00B53AAE">
        <w:instrText xml:space="preserve"> REF _Ref384355454 \r \h </w:instrText>
      </w:r>
      <w:r>
        <w:rPr>
          <w:highlight w:val="yellow"/>
        </w:rPr>
        <w:instrText xml:space="preserve"> \* MERGEFORMAT </w:instrText>
      </w:r>
      <w:r w:rsidRPr="00277499">
        <w:fldChar w:fldCharType="separate"/>
      </w:r>
      <w:r>
        <w:t>264</w:t>
      </w:r>
      <w:r w:rsidRPr="00277499">
        <w:fldChar w:fldCharType="end"/>
      </w:r>
      <w:r w:rsidRPr="00B53AAE">
        <w:t>.</w:t>
      </w:r>
    </w:p>
    <w:p w14:paraId="0E9F747E" w14:textId="77777777" w:rsidR="00E86304" w:rsidRPr="00FD274F" w:rsidRDefault="00E86304" w:rsidP="00E86304">
      <w:pPr>
        <w:pStyle w:val="Head4"/>
      </w:pPr>
      <w:r w:rsidRPr="00FD274F">
        <w:t>Purpose and operation of instrument</w:t>
      </w:r>
    </w:p>
    <w:p w14:paraId="1644C2B1" w14:textId="77777777" w:rsidR="00E86304" w:rsidRPr="00FD274F" w:rsidRDefault="00E86304" w:rsidP="00E86304">
      <w:pPr>
        <w:pStyle w:val="BodyNum"/>
      </w:pPr>
      <w:r w:rsidRPr="00FD274F">
        <w:t>The explanatory statement should contain sufficient information to enable readers to understand the need for the instrument, its objectives and its intended operation. As a guide, it is desirable for the statement to include the following information:</w:t>
      </w:r>
    </w:p>
    <w:p w14:paraId="66EDCDA0" w14:textId="77777777" w:rsidR="00E86304" w:rsidRPr="00FD274F" w:rsidRDefault="00E86304" w:rsidP="00E86304">
      <w:pPr>
        <w:pStyle w:val="BodyPara"/>
      </w:pPr>
      <w:r w:rsidRPr="00FD274F">
        <w:t>the issues giving rise to the need for the legislative instrument;</w:t>
      </w:r>
    </w:p>
    <w:p w14:paraId="4BF65E59" w14:textId="77777777" w:rsidR="00E86304" w:rsidRPr="00FD274F" w:rsidRDefault="00E86304" w:rsidP="00E86304">
      <w:pPr>
        <w:pStyle w:val="BodyPara"/>
      </w:pPr>
      <w:r w:rsidRPr="00FD274F">
        <w:t>why legislation is necessary to address the issues;</w:t>
      </w:r>
    </w:p>
    <w:p w14:paraId="458E5366" w14:textId="77777777" w:rsidR="00E86304" w:rsidRPr="00FD274F" w:rsidRDefault="00E86304" w:rsidP="00E86304">
      <w:pPr>
        <w:pStyle w:val="BodyPara"/>
      </w:pPr>
      <w:r w:rsidRPr="00FD274F">
        <w:t>an explanation of how the instrument is intended to operate, and its likely impact.</w:t>
      </w:r>
    </w:p>
    <w:p w14:paraId="00224C72" w14:textId="77777777" w:rsidR="00E86304" w:rsidRPr="00FD274F" w:rsidRDefault="00E86304" w:rsidP="00E86304">
      <w:pPr>
        <w:pStyle w:val="BodyNum"/>
      </w:pPr>
      <w:bookmarkStart w:id="143" w:name="_Ref369785034"/>
      <w:r w:rsidRPr="00FD274F">
        <w:t>Althoug</w:t>
      </w:r>
      <w:r w:rsidRPr="00277499">
        <w:t xml:space="preserve">h the </w:t>
      </w:r>
      <w:hyperlink r:id="rId355" w:history="1">
        <w:r w:rsidRPr="00277499">
          <w:rPr>
            <w:rStyle w:val="Hyperlink"/>
          </w:rPr>
          <w:t>LA</w:t>
        </w:r>
      </w:hyperlink>
      <w:r w:rsidRPr="00277499">
        <w:t xml:space="preserve"> d</w:t>
      </w:r>
      <w:r w:rsidRPr="00FD274F">
        <w:t>oes not insist on a provision</w:t>
      </w:r>
      <w:r>
        <w:noBreakHyphen/>
      </w:r>
      <w:r w:rsidRPr="00FD274F">
        <w:t>by</w:t>
      </w:r>
      <w:r>
        <w:noBreakHyphen/>
      </w:r>
      <w:r w:rsidRPr="00FD274F">
        <w:t>provision explanation, this is often useful and may be necessary to meet the needs of users</w:t>
      </w:r>
      <w:r>
        <w:t>,</w:t>
      </w:r>
      <w:r w:rsidRPr="00FD274F">
        <w:t xml:space="preserve"> particularly scrutiny bodies such as </w:t>
      </w:r>
      <w:r>
        <w:t xml:space="preserve">the SDLC </w:t>
      </w:r>
      <w:r w:rsidRPr="00FD274F">
        <w:t>(</w:t>
      </w:r>
      <w:r w:rsidRPr="00CE7008">
        <w:t xml:space="preserve">see paragraphs </w:t>
      </w:r>
      <w:r w:rsidRPr="00277499">
        <w:fldChar w:fldCharType="begin"/>
      </w:r>
      <w:r w:rsidRPr="00CE7008">
        <w:instrText xml:space="preserve"> REF _Ref36029834 \r \h </w:instrText>
      </w:r>
      <w:r>
        <w:rPr>
          <w:highlight w:val="yellow"/>
        </w:rPr>
        <w:instrText xml:space="preserve"> \* MERGEFORMAT </w:instrText>
      </w:r>
      <w:r w:rsidRPr="00277499">
        <w:fldChar w:fldCharType="separate"/>
      </w:r>
      <w:r>
        <w:t>253</w:t>
      </w:r>
      <w:r w:rsidRPr="00277499">
        <w:fldChar w:fldCharType="end"/>
      </w:r>
      <w:r w:rsidRPr="00CE7008">
        <w:t xml:space="preserve"> to </w:t>
      </w:r>
      <w:r w:rsidRPr="00277499">
        <w:fldChar w:fldCharType="begin"/>
      </w:r>
      <w:r w:rsidRPr="00CE7008">
        <w:instrText xml:space="preserve"> REF _Ref36029839 \r \h </w:instrText>
      </w:r>
      <w:r>
        <w:rPr>
          <w:highlight w:val="yellow"/>
        </w:rPr>
        <w:instrText xml:space="preserve"> \* MERGEFORMAT </w:instrText>
      </w:r>
      <w:r w:rsidRPr="00277499">
        <w:fldChar w:fldCharType="separate"/>
      </w:r>
      <w:r>
        <w:t>257</w:t>
      </w:r>
      <w:r w:rsidRPr="00277499">
        <w:fldChar w:fldCharType="end"/>
      </w:r>
      <w:r w:rsidRPr="00CE7008">
        <w:t>).</w:t>
      </w:r>
    </w:p>
    <w:bookmarkEnd w:id="143"/>
    <w:p w14:paraId="3EDB6377" w14:textId="77777777" w:rsidR="00E86304" w:rsidRPr="00FD274F" w:rsidRDefault="00E86304" w:rsidP="00E86304">
      <w:pPr>
        <w:pStyle w:val="Head4"/>
      </w:pPr>
      <w:r w:rsidRPr="00FD274F">
        <w:t>Documents incorporated by reference</w:t>
      </w:r>
    </w:p>
    <w:p w14:paraId="0183B2F6" w14:textId="77777777" w:rsidR="00E86304" w:rsidRPr="00277499" w:rsidRDefault="00E86304" w:rsidP="00E86304">
      <w:pPr>
        <w:pStyle w:val="BodyNum"/>
      </w:pPr>
      <w:r w:rsidRPr="00FD274F">
        <w:t>If an instrument incorporates a document by reference</w:t>
      </w:r>
      <w:r>
        <w:t xml:space="preserve"> and </w:t>
      </w:r>
      <w:r w:rsidRPr="00FD274F">
        <w:t>the document is not a Commonwealth Act or legislative instrument, the explanatory statement must describe each document that has been incorporated and indicate how the document may be obtaine</w:t>
      </w:r>
      <w:r w:rsidRPr="00277499">
        <w:t>d (</w:t>
      </w:r>
      <w:hyperlink r:id="rId356" w:history="1">
        <w:hyperlink r:id="rId357" w:history="1">
          <w:hyperlink r:id="rId358" w:history="1">
            <w:r w:rsidRPr="00277499">
              <w:rPr>
                <w:rStyle w:val="Hyperlink"/>
              </w:rPr>
              <w:t>LA</w:t>
            </w:r>
          </w:hyperlink>
          <w:r w:rsidRPr="00277499">
            <w:rPr>
              <w:rStyle w:val="Hyperlink"/>
            </w:rPr>
            <w:t xml:space="preserve"> </w:t>
          </w:r>
        </w:hyperlink>
      </w:hyperlink>
      <w:r w:rsidRPr="00277499">
        <w:t>s 15J(2)(c)). In describing such documents, the explanatory statement should:</w:t>
      </w:r>
    </w:p>
    <w:p w14:paraId="34754A5B" w14:textId="77777777" w:rsidR="00E86304" w:rsidRPr="00FD274F" w:rsidRDefault="00E86304" w:rsidP="00E86304">
      <w:pPr>
        <w:pStyle w:val="BodyPara"/>
      </w:pPr>
      <w:r w:rsidRPr="00FD274F">
        <w:t>state whether the document is incorporated as in force from time to time or as at a particular time; and</w:t>
      </w:r>
    </w:p>
    <w:p w14:paraId="12B24760" w14:textId="77777777" w:rsidR="00E86304" w:rsidRPr="00ED449C" w:rsidRDefault="00E86304" w:rsidP="00E86304">
      <w:pPr>
        <w:pStyle w:val="BodyPara"/>
        <w:rPr>
          <w:spacing w:val="-4"/>
        </w:rPr>
      </w:pPr>
      <w:r w:rsidRPr="00ED449C">
        <w:rPr>
          <w:spacing w:val="-4"/>
        </w:rPr>
        <w:t>if the document is incorporated as in force at a particular time—state the time; and</w:t>
      </w:r>
    </w:p>
    <w:p w14:paraId="5C68E356" w14:textId="77777777" w:rsidR="00E86304" w:rsidRDefault="00E86304" w:rsidP="00E86304">
      <w:pPr>
        <w:pStyle w:val="BodyPara"/>
      </w:pPr>
      <w:r w:rsidRPr="00FD274F">
        <w:t>if the document is incorporated as in force from time to time—comment on the application of subsectio</w:t>
      </w:r>
      <w:r w:rsidRPr="00277499">
        <w:t xml:space="preserve">n 14(2) of the </w:t>
      </w:r>
      <w:hyperlink r:id="rId359" w:history="1">
        <w:r w:rsidRPr="00277499">
          <w:rPr>
            <w:rStyle w:val="Hyperlink"/>
          </w:rPr>
          <w:t>LA</w:t>
        </w:r>
      </w:hyperlink>
      <w:r w:rsidRPr="00FD274F">
        <w:t xml:space="preserve"> and mention any contrary provision in the enabling legislation that displaces it</w:t>
      </w:r>
      <w:r>
        <w:t>; and</w:t>
      </w:r>
    </w:p>
    <w:p w14:paraId="3EE637F1" w14:textId="77777777" w:rsidR="00E86304" w:rsidRPr="00FD274F" w:rsidRDefault="00E86304" w:rsidP="00E86304">
      <w:pPr>
        <w:pStyle w:val="BodyPara"/>
      </w:pPr>
      <w:r>
        <w:t>indicate where the document may be freely accessed and used by members of the public</w:t>
      </w:r>
      <w:r w:rsidRPr="00FD274F">
        <w:t>.</w:t>
      </w:r>
    </w:p>
    <w:p w14:paraId="20FCE4AE" w14:textId="77777777" w:rsidR="00E86304" w:rsidRPr="00FD274F" w:rsidRDefault="00E86304" w:rsidP="00E86304">
      <w:pPr>
        <w:pStyle w:val="BodyNum"/>
      </w:pPr>
      <w:r w:rsidRPr="00FD274F">
        <w:t>If an instrument does not incorporate a document by reference, a statement in the explanatory statement indicating this can assist in exp</w:t>
      </w:r>
      <w:r>
        <w:t>editing parliamentary scrutiny.</w:t>
      </w:r>
    </w:p>
    <w:p w14:paraId="20DDAFAB" w14:textId="77777777" w:rsidR="00E86304" w:rsidRPr="00FD274F" w:rsidRDefault="00E86304" w:rsidP="00E86304">
      <w:pPr>
        <w:pStyle w:val="BodyNum"/>
      </w:pPr>
      <w:r w:rsidRPr="00FD274F">
        <w:t>Please refer to parag</w:t>
      </w:r>
      <w:r w:rsidRPr="00124F91">
        <w:t xml:space="preserve">raphs </w:t>
      </w:r>
      <w:r w:rsidRPr="00277499">
        <w:fldChar w:fldCharType="begin"/>
      </w:r>
      <w:r w:rsidRPr="00124F91">
        <w:instrText xml:space="preserve"> REF _Ref428882029 \r \h  \* MERGEFORMAT </w:instrText>
      </w:r>
      <w:r w:rsidRPr="00277499">
        <w:fldChar w:fldCharType="separate"/>
      </w:r>
      <w:r>
        <w:t>96</w:t>
      </w:r>
      <w:r w:rsidRPr="00277499">
        <w:fldChar w:fldCharType="end"/>
      </w:r>
      <w:r w:rsidRPr="00124F91">
        <w:t xml:space="preserve"> to </w:t>
      </w:r>
      <w:r>
        <w:fldChar w:fldCharType="begin"/>
      </w:r>
      <w:r>
        <w:instrText xml:space="preserve"> REF _Ref184283646 \r \h </w:instrText>
      </w:r>
      <w:r>
        <w:fldChar w:fldCharType="separate"/>
      </w:r>
      <w:r>
        <w:t>101</w:t>
      </w:r>
      <w:r>
        <w:fldChar w:fldCharType="end"/>
      </w:r>
      <w:r w:rsidRPr="00124F91">
        <w:t xml:space="preserve">, </w:t>
      </w:r>
      <w:r w:rsidRPr="00277499">
        <w:fldChar w:fldCharType="begin"/>
      </w:r>
      <w:r w:rsidRPr="00124F91">
        <w:instrText xml:space="preserve"> REF _Ref36030145 \r \h </w:instrText>
      </w:r>
      <w:r>
        <w:rPr>
          <w:highlight w:val="yellow"/>
        </w:rPr>
        <w:instrText xml:space="preserve"> \* MERGEFORMAT </w:instrText>
      </w:r>
      <w:r w:rsidRPr="00277499">
        <w:fldChar w:fldCharType="separate"/>
      </w:r>
      <w:r>
        <w:t>255</w:t>
      </w:r>
      <w:r w:rsidRPr="00277499">
        <w:fldChar w:fldCharType="end"/>
      </w:r>
      <w:r w:rsidRPr="00124F91">
        <w:t xml:space="preserve">, </w:t>
      </w:r>
      <w:r>
        <w:fldChar w:fldCharType="begin"/>
      </w:r>
      <w:r>
        <w:instrText xml:space="preserve"> REF _Ref435530013 \r \h </w:instrText>
      </w:r>
      <w:r>
        <w:fldChar w:fldCharType="separate"/>
      </w:r>
      <w:r>
        <w:t>282</w:t>
      </w:r>
      <w:r>
        <w:fldChar w:fldCharType="end"/>
      </w:r>
      <w:r>
        <w:t xml:space="preserve"> and </w:t>
      </w:r>
      <w:r w:rsidRPr="00277499">
        <w:fldChar w:fldCharType="begin"/>
      </w:r>
      <w:r w:rsidRPr="00124F91">
        <w:instrText xml:space="preserve"> REF _Ref435530018 \r \h  \* MERGEFORMAT </w:instrText>
      </w:r>
      <w:r w:rsidRPr="00277499">
        <w:fldChar w:fldCharType="separate"/>
      </w:r>
      <w:r>
        <w:t>283</w:t>
      </w:r>
      <w:r w:rsidRPr="00277499">
        <w:fldChar w:fldCharType="end"/>
      </w:r>
      <w:r w:rsidRPr="00FD274F">
        <w:t xml:space="preserve"> for further information on documents incorporated by reference.</w:t>
      </w:r>
    </w:p>
    <w:p w14:paraId="73A8FF65" w14:textId="77777777" w:rsidR="00E86304" w:rsidRPr="00FD274F" w:rsidRDefault="00E86304" w:rsidP="00E86304">
      <w:pPr>
        <w:pStyle w:val="Head4"/>
      </w:pPr>
      <w:r w:rsidRPr="00FD274F">
        <w:lastRenderedPageBreak/>
        <w:t>Consultation</w:t>
      </w:r>
    </w:p>
    <w:p w14:paraId="355AC273" w14:textId="77777777" w:rsidR="00E86304" w:rsidRPr="00AB5E02" w:rsidRDefault="00E86304" w:rsidP="00E86304">
      <w:pPr>
        <w:pStyle w:val="BodyNum"/>
        <w:rPr>
          <w:spacing w:val="-2"/>
        </w:rPr>
      </w:pPr>
      <w:r w:rsidRPr="00AB5E02">
        <w:rPr>
          <w:spacing w:val="-2"/>
        </w:rPr>
        <w:t>The explanatory statement must contain a description of any consultation undertaken unde</w:t>
      </w:r>
      <w:r w:rsidRPr="00277499">
        <w:rPr>
          <w:spacing w:val="-2"/>
        </w:rPr>
        <w:t xml:space="preserve">r section 17 of the </w:t>
      </w:r>
      <w:hyperlink r:id="rId360" w:history="1">
        <w:hyperlink r:id="rId361" w:history="1">
          <w:hyperlink r:id="rId362" w:history="1">
            <w:hyperlink r:id="rId363" w:history="1">
              <w:hyperlink r:id="rId364" w:history="1">
                <w:r w:rsidRPr="00277499">
                  <w:rPr>
                    <w:rStyle w:val="Hyperlink"/>
                    <w:spacing w:val="-2"/>
                  </w:rPr>
                  <w:t>LA</w:t>
                </w:r>
              </w:hyperlink>
              <w:r w:rsidRPr="00277499">
                <w:rPr>
                  <w:rStyle w:val="Hyperlink"/>
                  <w:spacing w:val="-2"/>
                </w:rPr>
                <w:t xml:space="preserve"> </w:t>
              </w:r>
            </w:hyperlink>
          </w:hyperlink>
        </w:hyperlink>
      </w:hyperlink>
      <w:r w:rsidRPr="00277499">
        <w:rPr>
          <w:spacing w:val="-2"/>
        </w:rPr>
        <w:t>be</w:t>
      </w:r>
      <w:r w:rsidRPr="00AB5E02">
        <w:rPr>
          <w:spacing w:val="-2"/>
        </w:rPr>
        <w:t xml:space="preserve">fore the instrument was made or, if no such consultation was undertaken, an explanation as to why no such consultation was undertaken. The requirement for consultation before making a legislative instrument is discussed in more </w:t>
      </w:r>
      <w:r w:rsidRPr="00B2122D">
        <w:rPr>
          <w:spacing w:val="-2"/>
        </w:rPr>
        <w:t xml:space="preserve">detail in </w:t>
      </w:r>
      <w:hyperlink w:anchor="Chapter7" w:history="1">
        <w:r w:rsidRPr="00B2122D">
          <w:rPr>
            <w:rStyle w:val="Hyperlink"/>
            <w:spacing w:val="-2"/>
          </w:rPr>
          <w:t xml:space="preserve">Chapter </w:t>
        </w:r>
        <w:r>
          <w:rPr>
            <w:rStyle w:val="Hyperlink"/>
            <w:spacing w:val="-2"/>
          </w:rPr>
          <w:t>6</w:t>
        </w:r>
      </w:hyperlink>
      <w:r w:rsidRPr="00B2122D">
        <w:rPr>
          <w:spacing w:val="-2"/>
        </w:rPr>
        <w:t>.</w:t>
      </w:r>
    </w:p>
    <w:p w14:paraId="75E279E2" w14:textId="77777777" w:rsidR="00E86304" w:rsidRPr="00FD274F" w:rsidRDefault="00E86304" w:rsidP="00E86304">
      <w:pPr>
        <w:pStyle w:val="Head4"/>
      </w:pPr>
      <w:r w:rsidRPr="00FD274F">
        <w:t>Human rights compatibility</w:t>
      </w:r>
    </w:p>
    <w:p w14:paraId="0C6AD794" w14:textId="77777777" w:rsidR="00E86304" w:rsidRPr="00FD274F" w:rsidRDefault="00E86304" w:rsidP="00E86304">
      <w:pPr>
        <w:pStyle w:val="BodyNum"/>
      </w:pPr>
      <w:r w:rsidRPr="00FD274F">
        <w:t>Under paragrap</w:t>
      </w:r>
      <w:r w:rsidRPr="00277499">
        <w:t xml:space="preserve">h 15J(2)(f) of the </w:t>
      </w:r>
      <w:hyperlink r:id="rId365" w:history="1">
        <w:hyperlink r:id="rId366" w:history="1">
          <w:hyperlink r:id="rId367" w:history="1">
            <w:r w:rsidRPr="00277499">
              <w:rPr>
                <w:rStyle w:val="Hyperlink"/>
              </w:rPr>
              <w:t>LA</w:t>
            </w:r>
          </w:hyperlink>
        </w:hyperlink>
      </w:hyperlink>
      <w:r w:rsidRPr="00277499">
        <w:t>, if a le</w:t>
      </w:r>
      <w:r w:rsidRPr="00FD274F">
        <w:t xml:space="preserve">gislative instrument is disallowable, its explanatory statement must include a statement of compatibility prepared under </w:t>
      </w:r>
      <w:r w:rsidRPr="00277499">
        <w:t xml:space="preserve">subsection 9(1) of the </w:t>
      </w:r>
      <w:hyperlink r:id="rId368" w:history="1">
        <w:r w:rsidRPr="00277499">
          <w:rPr>
            <w:rStyle w:val="Hyperlink"/>
            <w:i/>
          </w:rPr>
          <w:t>Human Rights (Parliamentary Scrutiny) Act 2011</w:t>
        </w:r>
      </w:hyperlink>
      <w:r w:rsidRPr="00277499">
        <w:rPr>
          <w:rStyle w:val="Hyperlink"/>
          <w:i/>
        </w:rPr>
        <w:t xml:space="preserve"> </w:t>
      </w:r>
      <w:r w:rsidRPr="00277499">
        <w:t>tha</w:t>
      </w:r>
      <w:r w:rsidRPr="00FD274F">
        <w:t>t assesses the instrument’s compatibility with the rights and freedoms contained in seven core human rights treaties to which Australia is a party. More information on human rights and how to assess compatibility is available on the AGD websit</w:t>
      </w:r>
      <w:r w:rsidRPr="00277499">
        <w:t>e</w:t>
      </w:r>
      <w:r w:rsidRPr="00277499">
        <w:rPr>
          <w:rStyle w:val="FootnoteReference"/>
        </w:rPr>
        <w:footnoteReference w:id="28"/>
      </w:r>
      <w:r w:rsidRPr="00277499">
        <w:t>.</w:t>
      </w:r>
    </w:p>
    <w:p w14:paraId="79DD01A2" w14:textId="77777777" w:rsidR="00E86304" w:rsidRPr="00FD274F" w:rsidRDefault="00E86304" w:rsidP="00E86304">
      <w:pPr>
        <w:pStyle w:val="Head3"/>
      </w:pPr>
      <w:bookmarkStart w:id="144" w:name="_Toc238117570"/>
      <w:r w:rsidRPr="00FD274F">
        <w:t>Other content considerations</w:t>
      </w:r>
      <w:bookmarkEnd w:id="144"/>
    </w:p>
    <w:p w14:paraId="2E949EE3" w14:textId="77777777" w:rsidR="00E86304" w:rsidRPr="00FD274F" w:rsidRDefault="00E86304" w:rsidP="00E86304">
      <w:pPr>
        <w:pStyle w:val="BodyNum"/>
      </w:pPr>
      <w:bookmarkStart w:id="145" w:name="_Ref369786489"/>
      <w:bookmarkStart w:id="146" w:name="_Ref384355426"/>
      <w:r w:rsidRPr="00FD274F">
        <w:t xml:space="preserve">In considering what to include in an explanatory statement, it is useful to take into account the needs of users. The following guidance takes into account issues of particular interest to the Parliament. For </w:t>
      </w:r>
      <w:r w:rsidRPr="00B2122D">
        <w:t>general guidance on formatting matters, including use of images and hidden content, see paragraphs</w:t>
      </w:r>
      <w:bookmarkEnd w:id="145"/>
      <w:r>
        <w:t xml:space="preserve"> </w:t>
      </w:r>
      <w:r>
        <w:fldChar w:fldCharType="begin"/>
      </w:r>
      <w:r>
        <w:instrText xml:space="preserve"> REF _Ref185322055 \r \h </w:instrText>
      </w:r>
      <w:r>
        <w:fldChar w:fldCharType="separate"/>
      </w:r>
      <w:r>
        <w:t>118</w:t>
      </w:r>
      <w:r>
        <w:fldChar w:fldCharType="end"/>
      </w:r>
      <w:r>
        <w:t xml:space="preserve"> to </w:t>
      </w:r>
      <w:r>
        <w:fldChar w:fldCharType="begin"/>
      </w:r>
      <w:r>
        <w:instrText xml:space="preserve"> REF _Ref184284176 \r \h </w:instrText>
      </w:r>
      <w:r>
        <w:fldChar w:fldCharType="separate"/>
      </w:r>
      <w:r>
        <w:t>130</w:t>
      </w:r>
      <w:r>
        <w:fldChar w:fldCharType="end"/>
      </w:r>
      <w:r w:rsidRPr="00B2122D">
        <w:t>.</w:t>
      </w:r>
      <w:bookmarkEnd w:id="146"/>
    </w:p>
    <w:p w14:paraId="16A027D5" w14:textId="77777777" w:rsidR="00E86304" w:rsidRDefault="00E86304" w:rsidP="00E86304">
      <w:pPr>
        <w:pStyle w:val="Head4"/>
      </w:pPr>
      <w:r>
        <w:t>Impact Analysis requirements</w:t>
      </w:r>
    </w:p>
    <w:p w14:paraId="1924E728" w14:textId="77777777" w:rsidR="00E86304" w:rsidRDefault="00E86304" w:rsidP="00E86304">
      <w:pPr>
        <w:pStyle w:val="BodyNum"/>
      </w:pPr>
      <w:r>
        <w:t xml:space="preserve">If an Impact Analysis has been completed, the entire Impact Analysis must be included in or attached to the instrument’s explanatory statement for tabling purposes. There may be certain circumstances where publishing the Impact Analysis in the explanatory statement is impractical, such as if the Impact Analysis is exceptionally long. In this case, with prior agreement of the </w:t>
      </w:r>
      <w:proofErr w:type="spellStart"/>
      <w:r>
        <w:t>OIA</w:t>
      </w:r>
      <w:proofErr w:type="spellEnd"/>
      <w:r>
        <w:t>, a summary of the document (for example, the executive summary) may be published instead in the explanatory statement.</w:t>
      </w:r>
    </w:p>
    <w:p w14:paraId="37C495AA" w14:textId="77777777" w:rsidR="00E86304" w:rsidRDefault="00E86304" w:rsidP="00E86304">
      <w:pPr>
        <w:pStyle w:val="BodyNum"/>
      </w:pPr>
      <w:r>
        <w:t>Where an Impact Analysis is not required, the explanatory statement must be silent on the Impact Analysis requirements.</w:t>
      </w:r>
    </w:p>
    <w:p w14:paraId="0BAE7413" w14:textId="77777777" w:rsidR="00E86304" w:rsidRDefault="00E86304" w:rsidP="00E86304">
      <w:pPr>
        <w:pStyle w:val="BodyNum"/>
      </w:pPr>
      <w:r>
        <w:t>For more information about these requirements</w:t>
      </w:r>
      <w:r>
        <w:rPr>
          <w:rStyle w:val="FootnoteReference"/>
        </w:rPr>
        <w:footnoteReference w:id="29"/>
      </w:r>
      <w:r>
        <w:t xml:space="preserve">, please contact </w:t>
      </w:r>
      <w:proofErr w:type="spellStart"/>
      <w:r>
        <w:t>OIA</w:t>
      </w:r>
      <w:proofErr w:type="spellEnd"/>
      <w:r>
        <w:t xml:space="preserve"> (</w:t>
      </w:r>
      <w:hyperlink r:id="rId369" w:history="1">
        <w:r>
          <w:rPr>
            <w:rStyle w:val="Hyperlink"/>
          </w:rPr>
          <w:t>helpdesk</w:t>
        </w:r>
        <w:r>
          <w:rPr>
            <w:rStyle w:val="Hyperlink"/>
          </w:rPr>
          <w:noBreakHyphen/>
          <w:t>OIA@pmc.gov.au</w:t>
        </w:r>
      </w:hyperlink>
      <w:r>
        <w:rPr>
          <w:rStyle w:val="Hyperlink"/>
        </w:rPr>
        <w:t xml:space="preserve"> </w:t>
      </w:r>
      <w:r>
        <w:t>or (02) 6271 6270).</w:t>
      </w:r>
    </w:p>
    <w:p w14:paraId="3EA7C429" w14:textId="77777777" w:rsidR="00E86304" w:rsidRPr="00FD274F" w:rsidRDefault="00E86304" w:rsidP="00E86304">
      <w:pPr>
        <w:pStyle w:val="Head4"/>
      </w:pPr>
      <w:r w:rsidRPr="00FD274F">
        <w:t xml:space="preserve">Senate Standing Committee </w:t>
      </w:r>
      <w:r>
        <w:t xml:space="preserve">for the Scrutiny of Delegated Legislation </w:t>
      </w:r>
      <w:r w:rsidRPr="00FD274F">
        <w:t>(</w:t>
      </w:r>
      <w:r>
        <w:t>SDLC</w:t>
      </w:r>
      <w:r w:rsidRPr="00FD274F">
        <w:t>) requirements</w:t>
      </w:r>
    </w:p>
    <w:p w14:paraId="451D28C5" w14:textId="77777777" w:rsidR="00E86304" w:rsidRPr="00D12368" w:rsidRDefault="00E86304" w:rsidP="00E86304">
      <w:pPr>
        <w:pStyle w:val="BodyNum"/>
      </w:pPr>
      <w:bookmarkStart w:id="147" w:name="_Ref367446522"/>
      <w:bookmarkStart w:id="148" w:name="_Ref36029834"/>
      <w:r>
        <w:t xml:space="preserve">The SDLC </w:t>
      </w:r>
      <w:r w:rsidRPr="00FD274F">
        <w:t xml:space="preserve">reviews each disallowable </w:t>
      </w:r>
      <w:r>
        <w:t xml:space="preserve">legislative </w:t>
      </w:r>
      <w:r w:rsidRPr="00FD274F">
        <w:t>instrument</w:t>
      </w:r>
      <w:r>
        <w:t xml:space="preserve">, or legislative instrument that is subject to disapproval, affirmative resolution or exempt from disallowance, </w:t>
      </w:r>
      <w:r w:rsidRPr="00FD274F">
        <w:t>that is tabled in the Parliament</w:t>
      </w:r>
      <w:r>
        <w:t>. The instruments are reviewed</w:t>
      </w:r>
      <w:r w:rsidRPr="00FD274F">
        <w:t xml:space="preserve"> against a set of </w:t>
      </w:r>
      <w:r>
        <w:t xml:space="preserve">technical </w:t>
      </w:r>
      <w:r w:rsidRPr="00FD274F">
        <w:t>scrutiny principles that focus on individual rights and liberties and standards of parliamentary propriety.</w:t>
      </w:r>
      <w:bookmarkEnd w:id="147"/>
      <w:r>
        <w:t xml:space="preserve"> The SDLC publishes </w:t>
      </w:r>
      <w:r w:rsidRPr="00B4479C">
        <w:t xml:space="preserve">a </w:t>
      </w:r>
      <w:hyperlink r:id="rId370" w:history="1">
        <w:r w:rsidRPr="007C54F0">
          <w:rPr>
            <w:rStyle w:val="Hyperlink"/>
          </w:rPr>
          <w:t>consolidated set of guidelines setting out these scrutiny principles</w:t>
        </w:r>
      </w:hyperlink>
      <w:r w:rsidRPr="00B4479C">
        <w:t>. Each of the scrutiny pr</w:t>
      </w:r>
      <w:r>
        <w:t xml:space="preserve">inciples contains information to assist agencies to prepare </w:t>
      </w:r>
      <w:r>
        <w:lastRenderedPageBreak/>
        <w:t>an explanatory statement which meets the requirements of the SDLC. One of the scrutiny principles deals specifically with the adequacy of explanatory materials.</w:t>
      </w:r>
      <w:bookmarkEnd w:id="148"/>
    </w:p>
    <w:p w14:paraId="0AB1D92C" w14:textId="77777777" w:rsidR="00E86304" w:rsidRPr="00B4479C" w:rsidRDefault="00E86304" w:rsidP="00E86304">
      <w:pPr>
        <w:pStyle w:val="BodyNum"/>
      </w:pPr>
      <w:bookmarkStart w:id="149" w:name="_Ref444788679"/>
      <w:r w:rsidRPr="00B4479C">
        <w:t xml:space="preserve">The SDLC has long emphasised the importance of explanatory statements as a point of access to understanding the law, and, if needed, as extrinsic materials to assist with interpretation. The SDLC assesses whether the explanatory materials for a legislative instrument provide sufficient information to gain a clear understanding of the instrument. </w:t>
      </w:r>
      <w:bookmarkStart w:id="150" w:name="_Hlk183786669"/>
      <w:r w:rsidRPr="00B4479C">
        <w:t xml:space="preserve">The </w:t>
      </w:r>
      <w:r>
        <w:t>guideline</w:t>
      </w:r>
      <w:r w:rsidRPr="00B4479C">
        <w:t xml:space="preserve"> for the scrutiny principle dealing with the adequacy of explanatory materials says that an explanatory statement should typically:</w:t>
      </w:r>
      <w:bookmarkEnd w:id="149"/>
    </w:p>
    <w:bookmarkEnd w:id="150"/>
    <w:p w14:paraId="63E52B06" w14:textId="77777777" w:rsidR="00E86304" w:rsidRDefault="00E86304" w:rsidP="00E86304">
      <w:pPr>
        <w:pStyle w:val="BodyPara"/>
      </w:pPr>
      <w:r>
        <w:t xml:space="preserve">describe </w:t>
      </w:r>
      <w:r w:rsidRPr="00FD274F">
        <w:t xml:space="preserve">the </w:t>
      </w:r>
      <w:r>
        <w:t xml:space="preserve">purpose and operation of </w:t>
      </w:r>
      <w:r w:rsidRPr="00FD274F">
        <w:t>the instrum</w:t>
      </w:r>
      <w:r w:rsidRPr="00277499">
        <w:t xml:space="preserve">ent (see also </w:t>
      </w:r>
      <w:hyperlink r:id="rId371" w:history="1">
        <w:hyperlink r:id="rId372" w:history="1">
          <w:hyperlink r:id="rId373" w:history="1">
            <w:hyperlink r:id="rId374" w:history="1">
              <w:r w:rsidRPr="00277499">
                <w:rPr>
                  <w:rStyle w:val="Hyperlink"/>
                </w:rPr>
                <w:t>LA</w:t>
              </w:r>
            </w:hyperlink>
            <w:r w:rsidRPr="00277499">
              <w:rPr>
                <w:rStyle w:val="Hyperlink"/>
              </w:rPr>
              <w:t xml:space="preserve"> </w:t>
            </w:r>
          </w:hyperlink>
        </w:hyperlink>
      </w:hyperlink>
      <w:r w:rsidRPr="00277499">
        <w:t>s 15J(2)(b));</w:t>
      </w:r>
    </w:p>
    <w:p w14:paraId="69B06E4D" w14:textId="77777777" w:rsidR="00E86304" w:rsidRDefault="00E86304" w:rsidP="00E86304">
      <w:pPr>
        <w:pStyle w:val="BodyPara"/>
      </w:pPr>
      <w:r w:rsidRPr="00FD274F">
        <w:t>provide a detailed provision</w:t>
      </w:r>
      <w:r>
        <w:noBreakHyphen/>
      </w:r>
      <w:r w:rsidRPr="00FD274F">
        <w:t>by</w:t>
      </w:r>
      <w:r>
        <w:noBreakHyphen/>
      </w:r>
      <w:r w:rsidRPr="00FD274F">
        <w:t xml:space="preserve">provision </w:t>
      </w:r>
      <w:r>
        <w:t xml:space="preserve">explanation </w:t>
      </w:r>
      <w:r w:rsidRPr="00FD274F">
        <w:t>of the instrument</w:t>
      </w:r>
      <w:r>
        <w:t>, with sufficient detail to understand how each section will function and which does so not by simply repeating the text of the provisions;</w:t>
      </w:r>
    </w:p>
    <w:p w14:paraId="30847A1B" w14:textId="77777777" w:rsidR="00E86304" w:rsidRDefault="00E86304" w:rsidP="00E86304">
      <w:pPr>
        <w:pStyle w:val="BodyPara"/>
      </w:pPr>
      <w:r w:rsidRPr="00FD274F">
        <w:t xml:space="preserve">state the </w:t>
      </w:r>
      <w:r>
        <w:t xml:space="preserve">specific provisions that provide the legal </w:t>
      </w:r>
      <w:r w:rsidRPr="00FD274F">
        <w:t>authority for making the instrument;</w:t>
      </w:r>
    </w:p>
    <w:p w14:paraId="654D3A7E" w14:textId="77777777" w:rsidR="00E86304" w:rsidRPr="00277499" w:rsidRDefault="00E86304" w:rsidP="00E86304">
      <w:pPr>
        <w:pStyle w:val="BodyPara"/>
      </w:pPr>
      <w:r w:rsidRPr="0015100D">
        <w:t xml:space="preserve">where </w:t>
      </w:r>
      <w:r>
        <w:t xml:space="preserve">the </w:t>
      </w:r>
      <w:r w:rsidRPr="0015100D">
        <w:t xml:space="preserve">instrument has been made in contemplation of commencement of its enabling provision, </w:t>
      </w:r>
      <w:r>
        <w:t xml:space="preserve">state </w:t>
      </w:r>
      <w:r w:rsidRPr="0015100D">
        <w:t>that the instrument relies on s</w:t>
      </w:r>
      <w:r w:rsidRPr="00277499">
        <w:t xml:space="preserve">ection 4 of the </w:t>
      </w:r>
      <w:hyperlink r:id="rId375" w:history="1">
        <w:r w:rsidRPr="00FD6A45">
          <w:rPr>
            <w:rStyle w:val="Hyperlink"/>
            <w:i/>
          </w:rPr>
          <w:t>Acts Interpretation Act 1901</w:t>
        </w:r>
      </w:hyperlink>
      <w:r w:rsidRPr="00277499">
        <w:t>;</w:t>
      </w:r>
    </w:p>
    <w:p w14:paraId="5EC9E810" w14:textId="77777777" w:rsidR="00E86304" w:rsidRPr="0015100D" w:rsidRDefault="00E86304" w:rsidP="00E86304">
      <w:pPr>
        <w:pStyle w:val="BodyPara"/>
      </w:pPr>
      <w:r>
        <w:t xml:space="preserve">where the </w:t>
      </w:r>
      <w:r w:rsidRPr="0015100D">
        <w:t xml:space="preserve">instrument repeals or amends another instrument, and there is no express power in the enabling legislation to do so, </w:t>
      </w:r>
      <w:r>
        <w:t xml:space="preserve">state that </w:t>
      </w:r>
      <w:r w:rsidRPr="0015100D">
        <w:t>the instrument relies on s</w:t>
      </w:r>
      <w:r w:rsidRPr="00277499">
        <w:t xml:space="preserve">ubsection 33(3) of the </w:t>
      </w:r>
      <w:hyperlink r:id="rId376" w:history="1">
        <w:r w:rsidRPr="00FD6A45">
          <w:rPr>
            <w:rStyle w:val="Hyperlink"/>
            <w:i/>
          </w:rPr>
          <w:t>Acts Interpretation Act 1901</w:t>
        </w:r>
      </w:hyperlink>
      <w:r w:rsidRPr="00277499">
        <w:t xml:space="preserve"> fo</w:t>
      </w:r>
      <w:r w:rsidRPr="0015100D">
        <w:t xml:space="preserve">r the power to amend, modify or repeal the instrument. </w:t>
      </w:r>
      <w:r>
        <w:t xml:space="preserve">The </w:t>
      </w:r>
      <w:r w:rsidRPr="0015100D">
        <w:t>SDLC has provided the following example of a form of words that may be included in an explanatory statement where relevant:</w:t>
      </w:r>
    </w:p>
    <w:p w14:paraId="02D8840F" w14:textId="77777777" w:rsidR="00E86304" w:rsidRPr="0015100D" w:rsidRDefault="00E86304" w:rsidP="00E86304">
      <w:pPr>
        <w:pStyle w:val="notetext"/>
      </w:pPr>
      <w:r>
        <w:tab/>
      </w:r>
      <w:r w:rsidRPr="0015100D">
        <w:t xml:space="preserve">Under </w:t>
      </w:r>
      <w:r w:rsidRPr="00277499">
        <w:t>subsection 33(3) of the </w:t>
      </w:r>
      <w:r w:rsidRPr="00277499">
        <w:rPr>
          <w:i/>
        </w:rPr>
        <w:t>Acts Interpretation Act 1901</w:t>
      </w:r>
      <w:r w:rsidRPr="00277499">
        <w:t>, w</w:t>
      </w:r>
      <w:r w:rsidRPr="0015100D">
        <w:t>here an Act confers a power to make, grant or issue any instrument of a legislative or administrative character (including rules, regulations or by</w:t>
      </w:r>
      <w:r w:rsidRPr="0015100D">
        <w:noBreakHyphen/>
        <w:t>laws), the power shall be construed as including a power exercisable in the like manner and subject to the like conditions (if any) to repeal, rescind, revoke, amend, or vary any such instrument.</w:t>
      </w:r>
    </w:p>
    <w:p w14:paraId="474EE98C" w14:textId="77777777" w:rsidR="00E86304" w:rsidRPr="00FD274F" w:rsidRDefault="00E86304" w:rsidP="00E86304">
      <w:pPr>
        <w:pStyle w:val="BodyPara"/>
      </w:pPr>
      <w:r>
        <w:t>state whether there are any statutory preconditions which must be satisfied for the instrument to be lawfully made and, if so, whether they have been satisfied;</w:t>
      </w:r>
    </w:p>
    <w:p w14:paraId="39627F3F" w14:textId="77777777" w:rsidR="00E86304" w:rsidRDefault="00E86304" w:rsidP="00E86304">
      <w:pPr>
        <w:pStyle w:val="BodyPara"/>
      </w:pPr>
      <w:r>
        <w:t xml:space="preserve">where the instrument is one that specifies grants and programs on which expenditure is authorised (usually made under the </w:t>
      </w:r>
      <w:hyperlink r:id="rId377" w:history="1">
        <w:r w:rsidRPr="007809FB">
          <w:rPr>
            <w:rStyle w:val="Hyperlink"/>
            <w:i/>
          </w:rPr>
          <w:t>Financial Framework (Supplementary Powers) Act 1997</w:t>
        </w:r>
      </w:hyperlink>
      <w:r>
        <w:t xml:space="preserve"> or the </w:t>
      </w:r>
      <w:hyperlink r:id="rId378" w:history="1">
        <w:r w:rsidRPr="007809FB">
          <w:rPr>
            <w:rStyle w:val="Hyperlink"/>
            <w:i/>
          </w:rPr>
          <w:t>Industry Research and Development Act 1986</w:t>
        </w:r>
      </w:hyperlink>
      <w:r w:rsidRPr="00277499">
        <w:t>), o</w:t>
      </w:r>
      <w:r>
        <w:t>r engages an express or implied constitutional principle or guarantee, explain why the instrument is constitutionally valid;</w:t>
      </w:r>
    </w:p>
    <w:p w14:paraId="12B86723" w14:textId="77777777" w:rsidR="00E86304" w:rsidRDefault="00E86304" w:rsidP="00E86304">
      <w:pPr>
        <w:pStyle w:val="BodyPara"/>
      </w:pPr>
      <w:r>
        <w:t>where the instrument is likely to engage an express or implied constitutional principle or guarantee, explain why the instrument does not breach the principle or guarantee;</w:t>
      </w:r>
    </w:p>
    <w:p w14:paraId="4759559F" w14:textId="77777777" w:rsidR="00E86304" w:rsidRPr="00277499" w:rsidRDefault="00E86304" w:rsidP="00E86304">
      <w:pPr>
        <w:pStyle w:val="BodyPara"/>
        <w:keepLines/>
        <w:widowControl w:val="0"/>
      </w:pPr>
      <w:r>
        <w:lastRenderedPageBreak/>
        <w:t xml:space="preserve">state whether any </w:t>
      </w:r>
      <w:r w:rsidRPr="00FD274F">
        <w:t xml:space="preserve">consultation </w:t>
      </w:r>
      <w:r>
        <w:t xml:space="preserve">occurred in relation to the specific instrument (and, if so, whether persons likely to be affected by the instrument and persons with expertise in relevant fields were consulted) or, if no consultation occurred, why no consultation occurred </w:t>
      </w:r>
      <w:r w:rsidRPr="00FD274F">
        <w:t>(se</w:t>
      </w:r>
      <w:r w:rsidRPr="00277499">
        <w:t xml:space="preserve">e also </w:t>
      </w:r>
      <w:hyperlink r:id="rId379" w:history="1">
        <w:hyperlink r:id="rId380" w:history="1">
          <w:hyperlink r:id="rId381" w:history="1">
            <w:r w:rsidRPr="00277499">
              <w:rPr>
                <w:rStyle w:val="Hyperlink"/>
              </w:rPr>
              <w:t>LA</w:t>
            </w:r>
          </w:hyperlink>
          <w:r w:rsidRPr="00277499">
            <w:rPr>
              <w:rStyle w:val="Hyperlink"/>
            </w:rPr>
            <w:t xml:space="preserve"> </w:t>
          </w:r>
        </w:hyperlink>
      </w:hyperlink>
      <w:r w:rsidRPr="00277499">
        <w:t>s 15J(2)(d) and (e) and s 17);</w:t>
      </w:r>
    </w:p>
    <w:p w14:paraId="49369F89" w14:textId="77777777" w:rsidR="00E86304" w:rsidRDefault="00E86304" w:rsidP="00E86304">
      <w:pPr>
        <w:pStyle w:val="BodyPara"/>
      </w:pPr>
      <w:r>
        <w:t xml:space="preserve">contain a statement of compatibility with human rights prepared under </w:t>
      </w:r>
      <w:r w:rsidRPr="00277499">
        <w:t xml:space="preserve">subsection 9(1) of the </w:t>
      </w:r>
      <w:hyperlink r:id="rId382" w:history="1">
        <w:r w:rsidRPr="00277499">
          <w:rPr>
            <w:rStyle w:val="Hyperlink"/>
            <w:i/>
          </w:rPr>
          <w:t>Human Rights (Parliamentary Scrutiny) Act 2011</w:t>
        </w:r>
      </w:hyperlink>
      <w:r w:rsidRPr="00277499">
        <w:t xml:space="preserve"> (se</w:t>
      </w:r>
      <w:r>
        <w:t>e als</w:t>
      </w:r>
      <w:r w:rsidRPr="00277499">
        <w:t xml:space="preserve">o </w:t>
      </w:r>
      <w:hyperlink r:id="rId383" w:history="1">
        <w:hyperlink r:id="rId384" w:history="1">
          <w:hyperlink r:id="rId385" w:history="1">
            <w:hyperlink r:id="rId386" w:history="1">
              <w:r w:rsidRPr="00277499">
                <w:rPr>
                  <w:rStyle w:val="Hyperlink"/>
                </w:rPr>
                <w:t>LA</w:t>
              </w:r>
            </w:hyperlink>
            <w:r w:rsidRPr="00277499">
              <w:rPr>
                <w:rStyle w:val="Hyperlink"/>
              </w:rPr>
              <w:t xml:space="preserve"> </w:t>
            </w:r>
          </w:hyperlink>
        </w:hyperlink>
      </w:hyperlink>
      <w:r w:rsidRPr="00277499">
        <w:t>s 15J(2)(f)).</w:t>
      </w:r>
    </w:p>
    <w:p w14:paraId="4F931E64" w14:textId="77777777" w:rsidR="00E86304" w:rsidRPr="00331285" w:rsidRDefault="00E86304" w:rsidP="00E86304">
      <w:pPr>
        <w:pStyle w:val="BodyNum"/>
      </w:pPr>
      <w:bookmarkStart w:id="151" w:name="_Ref36030145"/>
      <w:r>
        <w:t>The checklist for the scrutiny principle covering adequacy of explanatory materials also identifies the following instrument-specific matters which should be covered by the explanatory statement where relevant:</w:t>
      </w:r>
      <w:bookmarkEnd w:id="151"/>
    </w:p>
    <w:p w14:paraId="5A01B114" w14:textId="77777777" w:rsidR="00E86304" w:rsidRDefault="00E86304" w:rsidP="00E86304">
      <w:pPr>
        <w:pStyle w:val="BodyPara"/>
      </w:pPr>
      <w:r>
        <w:t>where the instrument provides for the collection, use or disclosure of personal information, an explanation of the nature and scope of the provisions, why they are necessary and appropriate, and the safeguards in place to protect the personal information;</w:t>
      </w:r>
    </w:p>
    <w:p w14:paraId="0DF32270" w14:textId="77777777" w:rsidR="00E86304" w:rsidRDefault="00E86304" w:rsidP="00E86304">
      <w:pPr>
        <w:pStyle w:val="BodyPara"/>
      </w:pPr>
      <w:r>
        <w:t xml:space="preserve">the availability or otherwise of independent review of discretionary decisions made under the instrument, explained by reference to the Administrative Review Council’s Guide </w:t>
      </w:r>
      <w:r w:rsidRPr="00477B7A">
        <w:rPr>
          <w:i/>
        </w:rPr>
        <w:t>What decisions should be subject to merits review?</w:t>
      </w:r>
      <w:r>
        <w:rPr>
          <w:rStyle w:val="FootnoteReference"/>
          <w:i/>
        </w:rPr>
        <w:footnoteReference w:id="30"/>
      </w:r>
      <w:r>
        <w:t>;</w:t>
      </w:r>
    </w:p>
    <w:p w14:paraId="437CD1D1" w14:textId="77777777" w:rsidR="00E86304" w:rsidRDefault="00E86304" w:rsidP="00E86304">
      <w:pPr>
        <w:pStyle w:val="BodyPara"/>
      </w:pPr>
      <w:r>
        <w:t>details about any delegation of administrative functions or powers in the instrument, including the purpose, scope and necessity of the delegation, who will be exercising the powers and functions (including whether they possess appropriate qualifications and skills), and the limitations and safeguards in place;</w:t>
      </w:r>
    </w:p>
    <w:p w14:paraId="268A226F" w14:textId="77777777" w:rsidR="00E86304" w:rsidRDefault="00E86304" w:rsidP="00E86304">
      <w:pPr>
        <w:pStyle w:val="BodyPara"/>
      </w:pPr>
      <w:r>
        <w:t>an explanation of any exemption from primary legislation or modification of the application of primary legislation made by the instrument, and additional details;</w:t>
      </w:r>
    </w:p>
    <w:p w14:paraId="1C57B832" w14:textId="77777777" w:rsidR="00E86304" w:rsidRDefault="00E86304" w:rsidP="00E86304">
      <w:pPr>
        <w:pStyle w:val="BodyPara"/>
      </w:pPr>
      <w:r>
        <w:t>the basis for imposition of any fees or charges imposed by the instrument, and additional details;</w:t>
      </w:r>
    </w:p>
    <w:p w14:paraId="6C420EA8" w14:textId="77777777" w:rsidR="00E86304" w:rsidRPr="00FD274F" w:rsidRDefault="00E86304" w:rsidP="00E86304">
      <w:pPr>
        <w:pStyle w:val="BodyPara"/>
      </w:pPr>
      <w:r>
        <w:t xml:space="preserve">a description of </w:t>
      </w:r>
      <w:r w:rsidRPr="00FD274F">
        <w:t>any document incorporated by reference</w:t>
      </w:r>
      <w:r>
        <w:t xml:space="preserve">, including the manner in which it is incorporated (that is, whether as in force at a particular time or as in force from time to time), the legislative authority for incorporation as in force from time to time (if applicable), how the document may be obtained and where it may be freely accessed and used by the public </w:t>
      </w:r>
      <w:r w:rsidRPr="003E69AE">
        <w:t xml:space="preserve">(see also </w:t>
      </w:r>
      <w:hyperlink r:id="rId387" w:history="1">
        <w:hyperlink r:id="rId388" w:history="1">
          <w:hyperlink r:id="rId389" w:history="1">
            <w:r w:rsidRPr="003E69AE">
              <w:rPr>
                <w:rStyle w:val="Hyperlink"/>
              </w:rPr>
              <w:t>LA</w:t>
            </w:r>
          </w:hyperlink>
          <w:r w:rsidRPr="003E69AE">
            <w:rPr>
              <w:rStyle w:val="Hyperlink"/>
            </w:rPr>
            <w:t xml:space="preserve"> </w:t>
          </w:r>
        </w:hyperlink>
      </w:hyperlink>
      <w:r w:rsidRPr="003E69AE">
        <w:t>s 15J(2)(c));</w:t>
      </w:r>
    </w:p>
    <w:p w14:paraId="3D394196" w14:textId="77777777" w:rsidR="00E86304" w:rsidRDefault="00E86304" w:rsidP="00E86304">
      <w:pPr>
        <w:pStyle w:val="BodyPara"/>
      </w:pPr>
      <w:r>
        <w:t xml:space="preserve">where the instrument includes an offence which reverses the legal or evidential burden of proof, a justification for this reversal by reference to the </w:t>
      </w:r>
      <w:r w:rsidRPr="003E69AE">
        <w:lastRenderedPageBreak/>
        <w:t xml:space="preserve">AGD </w:t>
      </w:r>
      <w:r w:rsidRPr="003E69AE">
        <w:rPr>
          <w:i/>
        </w:rPr>
        <w:t>Guide to Framing Commonwealth Offences, Infringement Notices and Enforcement Powers</w:t>
      </w:r>
      <w:r>
        <w:rPr>
          <w:rStyle w:val="FootnoteReference"/>
          <w:i/>
        </w:rPr>
        <w:footnoteReference w:id="31"/>
      </w:r>
      <w:r w:rsidRPr="003E69AE">
        <w:t>;</w:t>
      </w:r>
    </w:p>
    <w:p w14:paraId="5895E963" w14:textId="77777777" w:rsidR="00E86304" w:rsidRPr="00FD274F" w:rsidRDefault="00E86304" w:rsidP="00E86304">
      <w:pPr>
        <w:pStyle w:val="BodyPara"/>
      </w:pPr>
      <w:r>
        <w:t>if the instrument commences retrospectively, a statement whether any person may be disadvantaged by the retrospectivity and, if so, what steps have been or will be taken to avoid such disadva</w:t>
      </w:r>
      <w:r w:rsidRPr="003E69AE">
        <w:t xml:space="preserve">ntage (see also </w:t>
      </w:r>
      <w:hyperlink r:id="rId390" w:history="1">
        <w:hyperlink r:id="rId391" w:history="1">
          <w:hyperlink r:id="rId392" w:history="1">
            <w:hyperlink r:id="rId393" w:history="1">
              <w:r w:rsidRPr="003E69AE">
                <w:rPr>
                  <w:rStyle w:val="Hyperlink"/>
                </w:rPr>
                <w:t>LA</w:t>
              </w:r>
            </w:hyperlink>
            <w:r w:rsidRPr="003E69AE">
              <w:rPr>
                <w:rStyle w:val="Hyperlink"/>
              </w:rPr>
              <w:t xml:space="preserve"> </w:t>
            </w:r>
          </w:hyperlink>
        </w:hyperlink>
      </w:hyperlink>
      <w:r w:rsidRPr="003E69AE">
        <w:t>s 12(2)).</w:t>
      </w:r>
    </w:p>
    <w:p w14:paraId="0A276943" w14:textId="77777777" w:rsidR="00E86304" w:rsidRPr="00FD274F" w:rsidRDefault="00E86304" w:rsidP="00E86304">
      <w:pPr>
        <w:pStyle w:val="BodyNum"/>
      </w:pPr>
      <w:r w:rsidRPr="00FD274F">
        <w:t xml:space="preserve">Agencies should respond quickly if </w:t>
      </w:r>
      <w:r>
        <w:t xml:space="preserve">the SDLC </w:t>
      </w:r>
      <w:r w:rsidRPr="00FD274F">
        <w:t xml:space="preserve">asks questions or expresses concern about a legislative instrument. Failure to do so may result in adverse parliamentary comment and possibly disallowance of the instrument. If the instrument was drafted by </w:t>
      </w:r>
      <w:proofErr w:type="spellStart"/>
      <w:r w:rsidRPr="00FD274F">
        <w:t>OPC</w:t>
      </w:r>
      <w:proofErr w:type="spellEnd"/>
      <w:r w:rsidRPr="00FD274F">
        <w:t xml:space="preserve">, agencies should also contact their </w:t>
      </w:r>
      <w:proofErr w:type="spellStart"/>
      <w:r w:rsidRPr="00FD274F">
        <w:t>OPC</w:t>
      </w:r>
      <w:proofErr w:type="spellEnd"/>
      <w:r w:rsidRPr="00FD274F">
        <w:t xml:space="preserve"> drafter.</w:t>
      </w:r>
    </w:p>
    <w:p w14:paraId="24FDF134" w14:textId="77777777" w:rsidR="00E86304" w:rsidRPr="00FD274F" w:rsidRDefault="00E86304" w:rsidP="00E86304">
      <w:pPr>
        <w:pStyle w:val="BodyNum"/>
      </w:pPr>
      <w:bookmarkStart w:id="152" w:name="_Ref36029839"/>
      <w:r w:rsidRPr="00FD274F">
        <w:t xml:space="preserve">Further information on issues and instruments of concern to </w:t>
      </w:r>
      <w:r>
        <w:t xml:space="preserve">the SDLC </w:t>
      </w:r>
      <w:r w:rsidRPr="00FD274F">
        <w:t xml:space="preserve">is available on the </w:t>
      </w:r>
      <w:r>
        <w:t xml:space="preserve">SDLC </w:t>
      </w:r>
      <w:r w:rsidRPr="00FD274F">
        <w:t>websi</w:t>
      </w:r>
      <w:r w:rsidRPr="003E69AE">
        <w:t>te</w:t>
      </w:r>
      <w:r w:rsidRPr="003E69AE">
        <w:rPr>
          <w:rStyle w:val="FootnoteReference"/>
        </w:rPr>
        <w:footnoteReference w:id="32"/>
      </w:r>
      <w:r w:rsidRPr="003E69AE">
        <w:t>.</w:t>
      </w:r>
      <w:bookmarkEnd w:id="152"/>
    </w:p>
    <w:p w14:paraId="3D1B24C4" w14:textId="77777777" w:rsidR="00E86304" w:rsidRPr="00FD274F" w:rsidRDefault="00E86304" w:rsidP="00E86304">
      <w:pPr>
        <w:pStyle w:val="Head4"/>
      </w:pPr>
      <w:r w:rsidRPr="00FD274F">
        <w:t>Parliamentary Joint Committee on Human Rights requirements</w:t>
      </w:r>
    </w:p>
    <w:p w14:paraId="555E5AFA" w14:textId="77777777" w:rsidR="00E86304" w:rsidRPr="00FD274F" w:rsidRDefault="00E86304" w:rsidP="00E86304">
      <w:pPr>
        <w:pStyle w:val="BodyNum"/>
      </w:pPr>
      <w:bookmarkStart w:id="153" w:name="_Ref367446541"/>
      <w:r w:rsidRPr="00FD274F">
        <w:t xml:space="preserve">The Parliamentary Joint Committee on Human Rights reviews each legislative instrument that is tabled in the Parliament for human rights compatibility in accordance with the </w:t>
      </w:r>
      <w:hyperlink r:id="rId394" w:history="1">
        <w:r w:rsidRPr="003E69AE">
          <w:rPr>
            <w:rStyle w:val="Hyperlink"/>
            <w:i/>
          </w:rPr>
          <w:t>Human Rights (Parliamentary Scrutiny) Act 2011</w:t>
        </w:r>
      </w:hyperlink>
      <w:r w:rsidRPr="003E69AE">
        <w:t>.</w:t>
      </w:r>
      <w:bookmarkEnd w:id="153"/>
    </w:p>
    <w:p w14:paraId="1FD5189E" w14:textId="77777777" w:rsidR="00E86304" w:rsidRPr="00FD274F" w:rsidRDefault="00E86304" w:rsidP="00E86304">
      <w:pPr>
        <w:pStyle w:val="BodyNum"/>
      </w:pPr>
      <w:r w:rsidRPr="00FD274F">
        <w:t>The committee views statements of compatibility as essential to the consideration of human rights in the legislative process, and expects statements to set out the necessary information in a way that allows the committee to undertake its scrutiny task efficiently. The committee expects statements of compatibility to be able to be read as stand</w:t>
      </w:r>
      <w:r>
        <w:noBreakHyphen/>
      </w:r>
      <w:r w:rsidRPr="00FD274F">
        <w:t>alone documents.</w:t>
      </w:r>
    </w:p>
    <w:p w14:paraId="4D1E192C" w14:textId="77777777" w:rsidR="00E86304" w:rsidRPr="00FD274F" w:rsidRDefault="00E86304" w:rsidP="00E86304">
      <w:pPr>
        <w:pStyle w:val="BodyNum"/>
      </w:pPr>
      <w:r w:rsidRPr="00FD274F">
        <w:t>If the rule</w:t>
      </w:r>
      <w:r>
        <w:noBreakHyphen/>
      </w:r>
      <w:r w:rsidRPr="00FD274F">
        <w:t>maker considers that no rights are engaged, the committee expects that reasons should be given, if possible, to support that conclusion. This is particularly important where such a conclusion may not be self</w:t>
      </w:r>
      <w:r>
        <w:noBreakHyphen/>
      </w:r>
      <w:r w:rsidRPr="00FD274F">
        <w:t>evident from the description</w:t>
      </w:r>
      <w:r>
        <w:t xml:space="preserve"> of the instrument’s objective.</w:t>
      </w:r>
    </w:p>
    <w:p w14:paraId="16B89A88" w14:textId="77777777" w:rsidR="00E86304" w:rsidRPr="00FD274F" w:rsidRDefault="00E86304" w:rsidP="00E86304">
      <w:pPr>
        <w:pStyle w:val="BodyNum"/>
      </w:pPr>
      <w:bookmarkStart w:id="154" w:name="_Ref369889299"/>
      <w:r w:rsidRPr="00FD274F">
        <w:t>If human rights are limited by a legislative instrument, the committee prefers statements of compatibility to follow the sequence of steps set out in the assessment tool and associated guidance developed by AG</w:t>
      </w:r>
      <w:r w:rsidRPr="003E69AE">
        <w:t>D</w:t>
      </w:r>
      <w:r w:rsidRPr="003E69AE">
        <w:rPr>
          <w:rStyle w:val="FootnoteReference"/>
        </w:rPr>
        <w:footnoteReference w:id="33"/>
      </w:r>
      <w:r w:rsidRPr="003E69AE">
        <w:t>. S</w:t>
      </w:r>
      <w:r w:rsidRPr="00FD274F">
        <w:t>tatements should provide information on:</w:t>
      </w:r>
      <w:bookmarkEnd w:id="154"/>
    </w:p>
    <w:p w14:paraId="430D1C50" w14:textId="77777777" w:rsidR="00E86304" w:rsidRPr="00FD274F" w:rsidRDefault="00E86304" w:rsidP="00E86304">
      <w:pPr>
        <w:pStyle w:val="BodyPara"/>
      </w:pPr>
      <w:r w:rsidRPr="00FD274F">
        <w:t>whether and how the limitation is aimed at achieving a legitimate objective; and</w:t>
      </w:r>
    </w:p>
    <w:p w14:paraId="6903F8C9" w14:textId="77777777" w:rsidR="00E86304" w:rsidRPr="00FD274F" w:rsidRDefault="00E86304" w:rsidP="00E86304">
      <w:pPr>
        <w:pStyle w:val="BodyPara"/>
      </w:pPr>
      <w:r w:rsidRPr="00FD274F">
        <w:t>whether and how there is a rational connection between the li</w:t>
      </w:r>
      <w:r>
        <w:t>mitation and the objective; and</w:t>
      </w:r>
    </w:p>
    <w:p w14:paraId="586C1B0C" w14:textId="77777777" w:rsidR="00E86304" w:rsidRPr="00FD274F" w:rsidRDefault="00E86304" w:rsidP="00E86304">
      <w:pPr>
        <w:pStyle w:val="BodyPara"/>
      </w:pPr>
      <w:r w:rsidRPr="00FD274F">
        <w:t>whether and how the limitation is reasonable, necessary and proportionate.</w:t>
      </w:r>
    </w:p>
    <w:p w14:paraId="46568801" w14:textId="77777777" w:rsidR="00E86304" w:rsidRPr="00FD274F" w:rsidRDefault="00E86304" w:rsidP="00E86304">
      <w:pPr>
        <w:pStyle w:val="BodyNum"/>
      </w:pPr>
      <w:r w:rsidRPr="00FD274F">
        <w:lastRenderedPageBreak/>
        <w:t>Further guidance on issues and instruments of concern to the committee is available on the committee’s webs</w:t>
      </w:r>
      <w:r w:rsidRPr="003E69AE">
        <w:t>ite</w:t>
      </w:r>
      <w:r w:rsidRPr="003E69AE">
        <w:rPr>
          <w:rStyle w:val="FootnoteReference"/>
        </w:rPr>
        <w:footnoteReference w:id="34"/>
      </w:r>
      <w:r w:rsidRPr="003E69AE">
        <w:t>.</w:t>
      </w:r>
    </w:p>
    <w:p w14:paraId="00AC76BE" w14:textId="77777777" w:rsidR="00E86304" w:rsidRPr="00FD274F" w:rsidRDefault="00E86304" w:rsidP="00E86304">
      <w:pPr>
        <w:pStyle w:val="Head4"/>
      </w:pPr>
      <w:r w:rsidRPr="00FD274F">
        <w:t>Previous ministerial or parliamentary undertakings</w:t>
      </w:r>
    </w:p>
    <w:p w14:paraId="73540B78" w14:textId="77777777" w:rsidR="00E86304" w:rsidRPr="00FD274F" w:rsidRDefault="00E86304" w:rsidP="00E86304">
      <w:pPr>
        <w:pStyle w:val="BodyNum"/>
      </w:pPr>
      <w:bookmarkStart w:id="155" w:name="_Ref369786506"/>
      <w:r w:rsidRPr="00FD274F">
        <w:t>A Minister or rule</w:t>
      </w:r>
      <w:r>
        <w:noBreakHyphen/>
      </w:r>
      <w:r w:rsidRPr="00FD274F">
        <w:t>maker may, on occasion, give an undertaking to the Parliament or a committee of the Parliament to review or change how an instrument operates, or to change drafting, consultation or other practices before making a similar instrument. If such an undertaking is relevant to a new instrument, the undertaking should be acknowledged and its implementation discussed in the explanatory statement for the new instrument.</w:t>
      </w:r>
      <w:bookmarkEnd w:id="155"/>
    </w:p>
    <w:p w14:paraId="7A49007D" w14:textId="77777777" w:rsidR="00E86304" w:rsidRPr="00FD274F" w:rsidRDefault="00E86304" w:rsidP="00E86304">
      <w:pPr>
        <w:pStyle w:val="Head4"/>
      </w:pPr>
      <w:r w:rsidRPr="00FD274F">
        <w:t>If an instrument or provision is very similar in substance to one made recently</w:t>
      </w:r>
    </w:p>
    <w:p w14:paraId="5DA4B791" w14:textId="77777777" w:rsidR="00E86304" w:rsidRPr="00B2122D" w:rsidRDefault="00E86304" w:rsidP="00E86304">
      <w:pPr>
        <w:pStyle w:val="BodyNum"/>
      </w:pPr>
      <w:bookmarkStart w:id="156" w:name="_Ref384355454"/>
      <w:r w:rsidRPr="00FD274F">
        <w:t>T</w:t>
      </w:r>
      <w:r w:rsidRPr="003E69AE">
        <w:t xml:space="preserve">he </w:t>
      </w:r>
      <w:hyperlink r:id="rId395" w:history="1">
        <w:r w:rsidRPr="003E69AE">
          <w:rPr>
            <w:rStyle w:val="Hyperlink"/>
          </w:rPr>
          <w:t>LA</w:t>
        </w:r>
      </w:hyperlink>
      <w:r w:rsidRPr="003E69AE">
        <w:t xml:space="preserve"> im</w:t>
      </w:r>
      <w:r w:rsidRPr="00FD274F">
        <w:t>poses significant restrictions on remaking an instrument or provision before, and for a period after, tabling. Consequently, if an instrument or provision is being remade while restrictions apply or shortly after they end, the explanatory statement should acknowledge the restrictions and explain why they do not apply (se</w:t>
      </w:r>
      <w:r w:rsidRPr="00B2122D">
        <w:t xml:space="preserve">e paragraphs </w:t>
      </w:r>
      <w:r w:rsidRPr="003E69AE">
        <w:fldChar w:fldCharType="begin"/>
      </w:r>
      <w:r w:rsidRPr="00B2122D">
        <w:instrText xml:space="preserve"> REF _Ref383697445 \r \h </w:instrText>
      </w:r>
      <w:r>
        <w:rPr>
          <w:highlight w:val="yellow"/>
        </w:rPr>
        <w:instrText xml:space="preserve"> \* MERGEFORMAT </w:instrText>
      </w:r>
      <w:r w:rsidRPr="003E69AE">
        <w:fldChar w:fldCharType="separate"/>
      </w:r>
      <w:r>
        <w:t>303</w:t>
      </w:r>
      <w:r w:rsidRPr="003E69AE">
        <w:fldChar w:fldCharType="end"/>
      </w:r>
      <w:r w:rsidRPr="00B2122D">
        <w:t xml:space="preserve"> to </w:t>
      </w:r>
      <w:r w:rsidRPr="003E69AE">
        <w:fldChar w:fldCharType="begin"/>
      </w:r>
      <w:r w:rsidRPr="00B2122D">
        <w:instrText xml:space="preserve"> REF _Ref384355195 \r \h </w:instrText>
      </w:r>
      <w:r>
        <w:rPr>
          <w:highlight w:val="yellow"/>
        </w:rPr>
        <w:instrText xml:space="preserve"> \* MERGEFORMAT </w:instrText>
      </w:r>
      <w:r w:rsidRPr="003E69AE">
        <w:fldChar w:fldCharType="separate"/>
      </w:r>
      <w:r>
        <w:t>311</w:t>
      </w:r>
      <w:r w:rsidRPr="003E69AE">
        <w:fldChar w:fldCharType="end"/>
      </w:r>
      <w:r w:rsidRPr="00B2122D">
        <w:t xml:space="preserve"> for more detail).</w:t>
      </w:r>
      <w:bookmarkEnd w:id="156"/>
    </w:p>
    <w:p w14:paraId="13230EC5" w14:textId="77777777" w:rsidR="00E86304" w:rsidRPr="00FD274F" w:rsidRDefault="00E86304" w:rsidP="00E86304">
      <w:pPr>
        <w:pStyle w:val="Head3"/>
      </w:pPr>
      <w:bookmarkStart w:id="157" w:name="_Toc238117571"/>
      <w:r w:rsidRPr="00FD274F">
        <w:t>Consequences of failure to provide explanatory statements on time</w:t>
      </w:r>
      <w:bookmarkEnd w:id="157"/>
    </w:p>
    <w:p w14:paraId="42FA4DEB" w14:textId="77777777" w:rsidR="00E86304" w:rsidRPr="00EC7C33" w:rsidRDefault="00E86304" w:rsidP="00E86304">
      <w:pPr>
        <w:pStyle w:val="BodyNum"/>
      </w:pPr>
      <w:bookmarkStart w:id="158" w:name="_Ref29483756"/>
      <w:bookmarkStart w:id="159" w:name="_Ref367446337"/>
      <w:r w:rsidRPr="00FD274F">
        <w:t xml:space="preserve">An explanatory statement for a legislative instrument must be lodged with </w:t>
      </w:r>
      <w:proofErr w:type="spellStart"/>
      <w:r w:rsidRPr="00FD274F">
        <w:t>OPC</w:t>
      </w:r>
      <w:proofErr w:type="spellEnd"/>
      <w:r w:rsidRPr="00FD274F">
        <w:t xml:space="preserve"> for registration at the same time as, or as soon as practicable after, the legislative instrument that it explains </w:t>
      </w:r>
      <w:r w:rsidRPr="00EC7C33">
        <w:t>(</w:t>
      </w:r>
      <w:hyperlink r:id="rId396" w:history="1">
        <w:hyperlink r:id="rId397" w:history="1">
          <w:hyperlink r:id="rId398" w:history="1">
            <w:r w:rsidRPr="00EC7C33">
              <w:rPr>
                <w:rStyle w:val="Hyperlink"/>
              </w:rPr>
              <w:t>LA</w:t>
            </w:r>
          </w:hyperlink>
          <w:r w:rsidRPr="00EC7C33">
            <w:rPr>
              <w:rStyle w:val="Hyperlink"/>
            </w:rPr>
            <w:t xml:space="preserve"> </w:t>
          </w:r>
        </w:hyperlink>
      </w:hyperlink>
      <w:r w:rsidRPr="00EC7C33">
        <w:t>s 15G(4)(a)). A</w:t>
      </w:r>
      <w:r w:rsidRPr="00FD274F">
        <w:t>lthough a failure to lodge the explanatory statement as required does not affect the validity or enforceability of the registered instrume</w:t>
      </w:r>
      <w:r w:rsidRPr="00EC7C33">
        <w:t>nt (</w:t>
      </w:r>
      <w:hyperlink r:id="rId399" w:history="1">
        <w:hyperlink r:id="rId400" w:history="1">
          <w:hyperlink r:id="rId401" w:history="1">
            <w:r w:rsidRPr="00EC7C33">
              <w:rPr>
                <w:rStyle w:val="Hyperlink"/>
              </w:rPr>
              <w:t>LA</w:t>
            </w:r>
          </w:hyperlink>
          <w:r w:rsidRPr="00EC7C33">
            <w:rPr>
              <w:rStyle w:val="Hyperlink"/>
            </w:rPr>
            <w:t xml:space="preserve"> </w:t>
          </w:r>
        </w:hyperlink>
      </w:hyperlink>
      <w:r w:rsidRPr="00EC7C33">
        <w:t>s 15K(2)), the rule</w:t>
      </w:r>
      <w:r w:rsidRPr="00EC7C33">
        <w:noBreakHyphen/>
        <w:t>maker:</w:t>
      </w:r>
      <w:bookmarkEnd w:id="158"/>
    </w:p>
    <w:p w14:paraId="178C0C9C" w14:textId="77777777" w:rsidR="00E86304" w:rsidRPr="00FD274F" w:rsidRDefault="00E86304" w:rsidP="00E86304">
      <w:pPr>
        <w:pStyle w:val="BodyPara"/>
      </w:pPr>
      <w:r w:rsidRPr="00FD274F">
        <w:t xml:space="preserve">remains under a statutory obligation to lodge the explanatory statement with </w:t>
      </w:r>
      <w:proofErr w:type="spellStart"/>
      <w:r w:rsidRPr="00FD274F">
        <w:t>OPC</w:t>
      </w:r>
      <w:proofErr w:type="spellEnd"/>
      <w:r w:rsidRPr="00FD274F">
        <w:t xml:space="preserve"> for registration</w:t>
      </w:r>
      <w:bookmarkEnd w:id="159"/>
      <w:r>
        <w:t>; and</w:t>
      </w:r>
    </w:p>
    <w:p w14:paraId="72CC8726" w14:textId="77777777" w:rsidR="00E86304" w:rsidRPr="00FD274F" w:rsidRDefault="00E86304" w:rsidP="00E86304">
      <w:pPr>
        <w:pStyle w:val="BodyPara"/>
      </w:pPr>
      <w:r w:rsidRPr="00FD274F">
        <w:t xml:space="preserve">must arrange for a written explanation to be tabled in the Parliament if the explanatory statement for an instrument is not lodged before the instrument is delivered by </w:t>
      </w:r>
      <w:proofErr w:type="spellStart"/>
      <w:r w:rsidRPr="00FD274F">
        <w:t>OPC</w:t>
      </w:r>
      <w:proofErr w:type="spellEnd"/>
      <w:r w:rsidRPr="00FD274F">
        <w:t xml:space="preserve"> for t</w:t>
      </w:r>
      <w:r w:rsidRPr="00EC7C33">
        <w:t>abling (</w:t>
      </w:r>
      <w:hyperlink r:id="rId402" w:history="1">
        <w:hyperlink r:id="rId403" w:history="1">
          <w:hyperlink r:id="rId404" w:history="1">
            <w:r w:rsidRPr="00EC7C33">
              <w:rPr>
                <w:rStyle w:val="Hyperlink"/>
              </w:rPr>
              <w:t>LA</w:t>
            </w:r>
          </w:hyperlink>
          <w:r w:rsidRPr="00EC7C33">
            <w:rPr>
              <w:rStyle w:val="Hyperlink"/>
            </w:rPr>
            <w:t xml:space="preserve"> </w:t>
          </w:r>
        </w:hyperlink>
      </w:hyperlink>
      <w:r w:rsidRPr="00EC7C33">
        <w:t>s 39(3)); a</w:t>
      </w:r>
      <w:r>
        <w:t>nd</w:t>
      </w:r>
    </w:p>
    <w:p w14:paraId="2B69ABC6" w14:textId="77777777" w:rsidR="00E86304" w:rsidRPr="00FD274F" w:rsidRDefault="00E86304" w:rsidP="00E86304">
      <w:pPr>
        <w:pStyle w:val="BodyPara"/>
      </w:pPr>
      <w:r w:rsidRPr="00FD274F">
        <w:t>should expect adverse comment from relevant parliamentary committees if this happens.</w:t>
      </w:r>
    </w:p>
    <w:p w14:paraId="0FEFA539" w14:textId="77777777" w:rsidR="00E86304" w:rsidRPr="00FD274F" w:rsidRDefault="00E86304" w:rsidP="00E86304">
      <w:pPr>
        <w:pStyle w:val="Head3"/>
      </w:pPr>
      <w:bookmarkStart w:id="160" w:name="_Toc238117572"/>
      <w:r w:rsidRPr="00FD274F">
        <w:t>If there is a significant error or omission in an explanatory statement</w:t>
      </w:r>
      <w:bookmarkEnd w:id="160"/>
    </w:p>
    <w:p w14:paraId="77A22A76" w14:textId="77777777" w:rsidR="00E86304" w:rsidRPr="00FD274F" w:rsidRDefault="00E86304" w:rsidP="00E86304">
      <w:pPr>
        <w:pStyle w:val="BodyNum"/>
      </w:pPr>
      <w:bookmarkStart w:id="161" w:name="_Ref29483854"/>
      <w:bookmarkStart w:id="162" w:name="_Ref378065259"/>
      <w:r w:rsidRPr="00FD274F">
        <w:t>If there is a significant error or omission in the initial explanatory statement provided for an instrument, there are things an agency or rule</w:t>
      </w:r>
      <w:r>
        <w:noBreakHyphen/>
      </w:r>
      <w:r w:rsidRPr="00FD274F">
        <w:t>maker can do to address this.</w:t>
      </w:r>
      <w:bookmarkEnd w:id="161"/>
    </w:p>
    <w:p w14:paraId="2343D7E5" w14:textId="77777777" w:rsidR="00E86304" w:rsidRPr="00FD274F" w:rsidRDefault="00E86304" w:rsidP="00E86304">
      <w:pPr>
        <w:pStyle w:val="BodyNum"/>
      </w:pPr>
      <w:r>
        <w:t>I</w:t>
      </w:r>
      <w:r w:rsidRPr="00FD274F">
        <w:t>t may be appropriate for a supplementary or replacement explanatory statement to be lodged and delivered to the Parliament</w:t>
      </w:r>
      <w:r>
        <w:t>, even if the instrument is no longer open to disallowance</w:t>
      </w:r>
      <w:r w:rsidRPr="00FD274F">
        <w:t>. As part of this, the agency will need to:</w:t>
      </w:r>
    </w:p>
    <w:p w14:paraId="7CBE3CBC" w14:textId="77777777" w:rsidR="00E86304" w:rsidRPr="00FD274F" w:rsidRDefault="00E86304" w:rsidP="00E86304">
      <w:pPr>
        <w:pStyle w:val="BodyPara"/>
      </w:pPr>
      <w:r w:rsidRPr="00FD274F">
        <w:t>consider which form of statement is most appropriate (a supplementary statement may suffice if the issue is a minor omission); and</w:t>
      </w:r>
    </w:p>
    <w:p w14:paraId="292D029E" w14:textId="77777777" w:rsidR="00E86304" w:rsidRPr="00FD274F" w:rsidRDefault="00E86304" w:rsidP="00E86304">
      <w:pPr>
        <w:pStyle w:val="BodyPara"/>
      </w:pPr>
      <w:r w:rsidRPr="00FD274F">
        <w:lastRenderedPageBreak/>
        <w:t>get the rule</w:t>
      </w:r>
      <w:r>
        <w:noBreakHyphen/>
      </w:r>
      <w:r w:rsidRPr="00FD274F">
        <w:t xml:space="preserve">maker’s approval </w:t>
      </w:r>
      <w:r>
        <w:t xml:space="preserve">for </w:t>
      </w:r>
      <w:r w:rsidRPr="00FD274F">
        <w:t xml:space="preserve">the supplementary or </w:t>
      </w:r>
      <w:r>
        <w:t>replacement statement; and</w:t>
      </w:r>
    </w:p>
    <w:p w14:paraId="3ECA26DD" w14:textId="77777777" w:rsidR="00E86304" w:rsidRPr="00EC7C33" w:rsidRDefault="00E86304" w:rsidP="00E86304">
      <w:pPr>
        <w:pStyle w:val="BodyPara"/>
      </w:pPr>
      <w:r w:rsidRPr="00FD274F">
        <w:t xml:space="preserve">lodge the </w:t>
      </w:r>
      <w:r>
        <w:t>supplementary or replacement</w:t>
      </w:r>
      <w:r w:rsidRPr="00FD274F">
        <w:t xml:space="preserve"> statement online with </w:t>
      </w:r>
      <w:proofErr w:type="spellStart"/>
      <w:r w:rsidRPr="00FD274F">
        <w:t>OPC</w:t>
      </w:r>
      <w:proofErr w:type="spellEnd"/>
      <w:r w:rsidRPr="00FD274F">
        <w:t xml:space="preserve">, so that </w:t>
      </w:r>
      <w:proofErr w:type="spellStart"/>
      <w:r w:rsidRPr="00FD274F">
        <w:t>OPC</w:t>
      </w:r>
      <w:proofErr w:type="spellEnd"/>
      <w:r w:rsidRPr="00FD274F">
        <w:t xml:space="preserve"> can register and deliver </w:t>
      </w:r>
      <w:r>
        <w:t>it</w:t>
      </w:r>
      <w:r w:rsidRPr="00FD274F">
        <w:t xml:space="preserve"> for tabling in accordance with s</w:t>
      </w:r>
      <w:r w:rsidRPr="00EC7C33">
        <w:t xml:space="preserve">ection 39 of the </w:t>
      </w:r>
      <w:hyperlink r:id="rId405" w:history="1">
        <w:hyperlink r:id="rId406" w:history="1">
          <w:hyperlink r:id="rId407" w:history="1">
            <w:r w:rsidRPr="00EC7C33">
              <w:rPr>
                <w:rStyle w:val="Hyperlink"/>
              </w:rPr>
              <w:t>LA</w:t>
            </w:r>
          </w:hyperlink>
        </w:hyperlink>
      </w:hyperlink>
      <w:r w:rsidRPr="00EC7C33">
        <w:t>.</w:t>
      </w:r>
    </w:p>
    <w:p w14:paraId="6C41C05A" w14:textId="77777777" w:rsidR="00E86304" w:rsidRDefault="00E86304" w:rsidP="00E86304">
      <w:pPr>
        <w:pStyle w:val="BodyNum"/>
      </w:pPr>
      <w:bookmarkStart w:id="163" w:name="_Ref29483856"/>
      <w:r>
        <w:t>I</w:t>
      </w:r>
      <w:r w:rsidRPr="00FD274F">
        <w:t>f there are special requirements for a statement to be tabled by a particular date to ensure that an instrument is not disallowed</w:t>
      </w:r>
      <w:r>
        <w:t>, a</w:t>
      </w:r>
      <w:r w:rsidRPr="00FD274F">
        <w:t xml:space="preserve">gencies </w:t>
      </w:r>
      <w:r>
        <w:t xml:space="preserve">are advised to contact </w:t>
      </w:r>
      <w:proofErr w:type="spellStart"/>
      <w:r>
        <w:t>OPC</w:t>
      </w:r>
      <w:proofErr w:type="spellEnd"/>
      <w:r w:rsidRPr="00FD274F">
        <w:t>. Under no circumstances should agencies attempt to lodge statements directly with the Table Offices or scrutiny bodies.</w:t>
      </w:r>
      <w:bookmarkEnd w:id="163"/>
    </w:p>
    <w:p w14:paraId="317D3542" w14:textId="77777777" w:rsidR="00E86304" w:rsidRDefault="00E86304" w:rsidP="00E86304">
      <w:pPr>
        <w:pStyle w:val="Head3"/>
      </w:pPr>
      <w:bookmarkStart w:id="164" w:name="_Toc238117573"/>
      <w:r>
        <w:t>Supporting material</w:t>
      </w:r>
      <w:bookmarkEnd w:id="164"/>
    </w:p>
    <w:p w14:paraId="2B70E27F" w14:textId="77777777" w:rsidR="00E86304" w:rsidRPr="00FD274F" w:rsidRDefault="00E86304" w:rsidP="00E86304">
      <w:pPr>
        <w:pStyle w:val="BodyNum"/>
      </w:pPr>
      <w:r>
        <w:t>Any</w:t>
      </w:r>
      <w:r w:rsidRPr="00FD274F">
        <w:t xml:space="preserve"> supporting material </w:t>
      </w:r>
      <w:r>
        <w:t xml:space="preserve">that should be made available with an instrument should </w:t>
      </w:r>
      <w:r w:rsidRPr="00FD274F">
        <w:t>also be attached (uploaded) to the online lodgement form</w:t>
      </w:r>
      <w:r>
        <w:t xml:space="preserve"> and meet the requirements set out in paragraph 147</w:t>
      </w:r>
      <w:r w:rsidRPr="00FD274F">
        <w:t>.</w:t>
      </w:r>
      <w:r>
        <w:t xml:space="preserve"> Supporting material published to the Register will be delivered by </w:t>
      </w:r>
      <w:proofErr w:type="spellStart"/>
      <w:r>
        <w:t>OPC</w:t>
      </w:r>
      <w:proofErr w:type="spellEnd"/>
      <w:r>
        <w:t xml:space="preserve"> for tabling. Where supporting material is expressly required to be tabled under legislation, please notify the Table Offices regarding the requirement.</w:t>
      </w:r>
    </w:p>
    <w:bookmarkEnd w:id="162"/>
    <w:p w14:paraId="24ADDA7C" w14:textId="77777777" w:rsidR="00E86304" w:rsidRDefault="00E86304" w:rsidP="00E86304">
      <w:pPr>
        <w:pStyle w:val="Head2"/>
        <w:sectPr w:rsidR="00E86304" w:rsidSect="00E86304">
          <w:headerReference w:type="default" r:id="rId408"/>
          <w:footerReference w:type="default" r:id="rId409"/>
          <w:pgSz w:w="11907" w:h="16839" w:code="9"/>
          <w:pgMar w:top="1440" w:right="1440" w:bottom="1418" w:left="1440" w:header="720" w:footer="720" w:gutter="0"/>
          <w:cols w:sep="1" w:space="567"/>
          <w:docGrid w:linePitch="360"/>
        </w:sectPr>
      </w:pPr>
    </w:p>
    <w:p w14:paraId="3CA3914D" w14:textId="77777777" w:rsidR="00E86304" w:rsidRPr="00FD274F" w:rsidRDefault="00E86304" w:rsidP="00E86304">
      <w:pPr>
        <w:pStyle w:val="Head2"/>
      </w:pPr>
      <w:bookmarkStart w:id="165" w:name="_Toc238117574"/>
      <w:r w:rsidRPr="00FD274F">
        <w:lastRenderedPageBreak/>
        <w:t xml:space="preserve">Chapter </w:t>
      </w:r>
      <w:bookmarkStart w:id="166" w:name="Chapter9"/>
      <w:bookmarkEnd w:id="166"/>
      <w:r>
        <w:t>8</w:t>
      </w:r>
      <w:r w:rsidRPr="00FD274F">
        <w:t>—Parliamentary scrutiny (disallowance) processes</w:t>
      </w:r>
      <w:bookmarkEnd w:id="165"/>
    </w:p>
    <w:p w14:paraId="6A0A1109" w14:textId="77777777" w:rsidR="00E86304" w:rsidRPr="00FD274F" w:rsidRDefault="00E86304" w:rsidP="00E86304">
      <w:pPr>
        <w:pStyle w:val="SundryBoxHeadBold"/>
      </w:pPr>
      <w:r w:rsidRPr="00FD274F">
        <w:t>Main points</w:t>
      </w:r>
    </w:p>
    <w:p w14:paraId="1F3C6CD9" w14:textId="77777777" w:rsidR="00E86304" w:rsidRDefault="00E86304" w:rsidP="00E86304">
      <w:pPr>
        <w:pStyle w:val="SundryBoxBullet"/>
      </w:pPr>
      <w:r w:rsidRPr="00FD274F">
        <w:t>•</w:t>
      </w:r>
      <w:r w:rsidRPr="00FD274F">
        <w:tab/>
        <w:t>All legislative instruments that are registered must be tabled in each House of the Parliament and, unless an exemption applies, they may be disallowed by either House.</w:t>
      </w:r>
    </w:p>
    <w:p w14:paraId="6C288DDB" w14:textId="77777777" w:rsidR="00E86304" w:rsidRPr="00FD274F" w:rsidRDefault="00E86304" w:rsidP="00E86304">
      <w:pPr>
        <w:pStyle w:val="SundryBoxBullet"/>
      </w:pPr>
      <w:r w:rsidRPr="00FD274F">
        <w:t>•</w:t>
      </w:r>
      <w:r w:rsidRPr="00FD274F">
        <w:tab/>
      </w:r>
      <w:r>
        <w:t>If a disallowable legislative instrument is rectified, it must be re</w:t>
      </w:r>
      <w:r>
        <w:noBreakHyphen/>
        <w:t>tabled in each House of the Parliament and may be subject to a new or extended disallowance period.</w:t>
      </w:r>
    </w:p>
    <w:p w14:paraId="6AD70045" w14:textId="77777777" w:rsidR="00E86304" w:rsidRPr="00FD274F" w:rsidRDefault="00E86304" w:rsidP="00E86304">
      <w:pPr>
        <w:pStyle w:val="SundryBoxBullet"/>
      </w:pPr>
      <w:r w:rsidRPr="00FD274F">
        <w:t>•</w:t>
      </w:r>
      <w:r w:rsidRPr="00FD274F">
        <w:tab/>
      </w:r>
      <w:proofErr w:type="spellStart"/>
      <w:r w:rsidRPr="00FD274F">
        <w:t>OPC</w:t>
      </w:r>
      <w:proofErr w:type="spellEnd"/>
      <w:r w:rsidRPr="00FD274F">
        <w:t xml:space="preserve"> is responsible for delivering legislative instruments and their explanatory statements to the Parliament for tabling.</w:t>
      </w:r>
    </w:p>
    <w:p w14:paraId="55323EB1" w14:textId="77777777" w:rsidR="00E86304" w:rsidRPr="00FD274F" w:rsidRDefault="00E86304" w:rsidP="00E86304">
      <w:pPr>
        <w:pStyle w:val="SundryBoxBullet"/>
      </w:pPr>
      <w:r w:rsidRPr="00FD274F">
        <w:t>•</w:t>
      </w:r>
      <w:r w:rsidRPr="00FD274F">
        <w:tab/>
        <w:t>The Parliamentary Table Offices are responsible for tabling legislative instruments and explanatory statements.</w:t>
      </w:r>
    </w:p>
    <w:p w14:paraId="039BEE3C" w14:textId="77777777" w:rsidR="00E86304" w:rsidRPr="00FD274F" w:rsidRDefault="00E86304" w:rsidP="00E86304">
      <w:pPr>
        <w:pStyle w:val="SundryBoxBullet"/>
      </w:pPr>
      <w:r w:rsidRPr="00FD274F">
        <w:t>•</w:t>
      </w:r>
      <w:r w:rsidRPr="00FD274F">
        <w:tab/>
        <w:t>The parliamentary sitting schedule determines when a legislative instrument can be tabled and how long it is open to disallowance (if applicable).</w:t>
      </w:r>
    </w:p>
    <w:p w14:paraId="100F36C9" w14:textId="77777777" w:rsidR="00E86304" w:rsidRPr="00FD274F" w:rsidRDefault="00E86304" w:rsidP="00E86304">
      <w:pPr>
        <w:pStyle w:val="SundryBoxBullet"/>
      </w:pPr>
      <w:r w:rsidRPr="00FD274F">
        <w:t>•</w:t>
      </w:r>
      <w:r w:rsidRPr="00FD274F">
        <w:tab/>
        <w:t xml:space="preserve">If </w:t>
      </w:r>
      <w:r>
        <w:t xml:space="preserve">a </w:t>
      </w:r>
      <w:r w:rsidRPr="00FD274F">
        <w:t xml:space="preserve">notice of motion to disallow is given but is not dealt with within 15 sitting days of </w:t>
      </w:r>
      <w:r>
        <w:t>the giving of that notice</w:t>
      </w:r>
      <w:r w:rsidRPr="00FD274F">
        <w:t>, the legislative instrument is automatically disallowed.</w:t>
      </w:r>
    </w:p>
    <w:p w14:paraId="32B57F55" w14:textId="77777777" w:rsidR="00E86304" w:rsidRPr="00FD274F" w:rsidRDefault="00E86304" w:rsidP="00E86304">
      <w:pPr>
        <w:pStyle w:val="SundryBoxBullet"/>
      </w:pPr>
      <w:r w:rsidRPr="00FD274F">
        <w:t>•</w:t>
      </w:r>
      <w:r w:rsidRPr="00FD274F">
        <w:tab/>
        <w:t xml:space="preserve">If a legislative instrument is disallowed, or is not tabled within 6 sitting days of registration, it </w:t>
      </w:r>
      <w:r>
        <w:t>is repealed</w:t>
      </w:r>
      <w:r w:rsidRPr="00FD274F">
        <w:t xml:space="preserve"> immediately and any amendment or repeal made by it is undone.</w:t>
      </w:r>
    </w:p>
    <w:p w14:paraId="77E2B033" w14:textId="77777777" w:rsidR="00E86304" w:rsidRDefault="00E86304" w:rsidP="00E86304">
      <w:pPr>
        <w:pStyle w:val="SundryBoxBullet"/>
      </w:pPr>
      <w:r w:rsidRPr="00FD274F">
        <w:t>•</w:t>
      </w:r>
      <w:r w:rsidRPr="00FD274F">
        <w:tab/>
        <w:t>A legislative instrument that has been registered recently, that is open to disallowance, or that has been disallowed in the last 6 months, generally cannot be remade.</w:t>
      </w:r>
    </w:p>
    <w:p w14:paraId="4E8E89F0" w14:textId="77777777" w:rsidR="00E86304" w:rsidRPr="00FD274F" w:rsidRDefault="00E86304" w:rsidP="00E86304">
      <w:pPr>
        <w:pStyle w:val="Head3"/>
      </w:pPr>
      <w:bookmarkStart w:id="167" w:name="_Toc238117575"/>
      <w:r w:rsidRPr="00FD274F">
        <w:t>Background</w:t>
      </w:r>
      <w:bookmarkEnd w:id="167"/>
    </w:p>
    <w:p w14:paraId="4D4EAE4E" w14:textId="77777777" w:rsidR="00E86304" w:rsidRPr="00FD274F" w:rsidRDefault="00E86304" w:rsidP="00E86304">
      <w:pPr>
        <w:pStyle w:val="BodyNum"/>
      </w:pPr>
      <w:r w:rsidRPr="00FD274F">
        <w:t xml:space="preserve">Until 2005, the process for deciding which instruments should be subject to parliamentary scrutiny and disallowance was largely ad hoc. An instrument was disallowable only if its enabling legislation declared it to be a statutory rule or otherwise disallowable, and a variety of disallowance periods and regimes applied. Individual agencies were responsible for delivering instruments </w:t>
      </w:r>
      <w:r>
        <w:t>for tabling if and as required.</w:t>
      </w:r>
    </w:p>
    <w:p w14:paraId="5E81B250" w14:textId="77777777" w:rsidR="00E86304" w:rsidRPr="00FD274F" w:rsidRDefault="00E86304" w:rsidP="00E86304">
      <w:pPr>
        <w:pStyle w:val="BodyNum"/>
      </w:pPr>
      <w:r w:rsidRPr="00EC7C33">
        <w:t xml:space="preserve">Part 2 of Chapter 3 of the </w:t>
      </w:r>
      <w:hyperlink r:id="rId410" w:history="1">
        <w:hyperlink r:id="rId411" w:history="1">
          <w:hyperlink r:id="rId412" w:history="1">
            <w:hyperlink r:id="rId413" w:history="1">
              <w:r w:rsidRPr="00EC7C33">
                <w:rPr>
                  <w:rStyle w:val="Hyperlink"/>
                </w:rPr>
                <w:t>LA</w:t>
              </w:r>
            </w:hyperlink>
            <w:r w:rsidRPr="00EC7C33">
              <w:rPr>
                <w:rStyle w:val="Hyperlink"/>
              </w:rPr>
              <w:t xml:space="preserve"> </w:t>
            </w:r>
          </w:hyperlink>
        </w:hyperlink>
      </w:hyperlink>
      <w:r w:rsidRPr="00EC7C33">
        <w:t>e</w:t>
      </w:r>
      <w:r w:rsidRPr="00FD274F">
        <w:t>stablishes, with some exceptions, a single regime for parliamentary scrutiny and disallowance of legislative instruments. In particular:</w:t>
      </w:r>
    </w:p>
    <w:p w14:paraId="30A287F2" w14:textId="77777777" w:rsidR="00E86304" w:rsidRPr="00FD274F" w:rsidRDefault="00E86304" w:rsidP="00E86304">
      <w:pPr>
        <w:pStyle w:val="BodyPara"/>
      </w:pPr>
      <w:r w:rsidRPr="00FD274F">
        <w:t>all legislative instruments must be tabled in each House of the Parliament within 6 sitting days of registration to remain in ef</w:t>
      </w:r>
      <w:r w:rsidRPr="00EC7C33">
        <w:t>fect (</w:t>
      </w:r>
      <w:hyperlink r:id="rId414" w:history="1">
        <w:hyperlink r:id="rId415" w:history="1">
          <w:hyperlink r:id="rId416" w:history="1">
            <w:r w:rsidRPr="00EC7C33">
              <w:rPr>
                <w:rStyle w:val="Hyperlink"/>
              </w:rPr>
              <w:t>LA</w:t>
            </w:r>
          </w:hyperlink>
          <w:r w:rsidRPr="00EC7C33">
            <w:rPr>
              <w:rStyle w:val="Hyperlink"/>
            </w:rPr>
            <w:t xml:space="preserve"> </w:t>
          </w:r>
        </w:hyperlink>
      </w:hyperlink>
      <w:r w:rsidRPr="00EC7C33">
        <w:t>s 38); an</w:t>
      </w:r>
      <w:r w:rsidRPr="00FD274F">
        <w:t>d</w:t>
      </w:r>
    </w:p>
    <w:p w14:paraId="6646236E" w14:textId="77777777" w:rsidR="00E86304" w:rsidRPr="00EC7C33" w:rsidRDefault="00E86304" w:rsidP="00E86304">
      <w:pPr>
        <w:pStyle w:val="BodyPara"/>
        <w:rPr>
          <w:spacing w:val="-2"/>
        </w:rPr>
      </w:pPr>
      <w:r w:rsidRPr="00FD274F">
        <w:rPr>
          <w:spacing w:val="-2"/>
        </w:rPr>
        <w:t xml:space="preserve">all legislative instruments are subject to disallowance by either House for a period of </w:t>
      </w:r>
      <w:r>
        <w:rPr>
          <w:spacing w:val="-2"/>
        </w:rPr>
        <w:t xml:space="preserve">at least </w:t>
      </w:r>
      <w:r w:rsidRPr="00FD274F">
        <w:rPr>
          <w:spacing w:val="-2"/>
        </w:rPr>
        <w:t>15 sitt</w:t>
      </w:r>
      <w:r w:rsidRPr="00EC7C33">
        <w:rPr>
          <w:spacing w:val="-2"/>
        </w:rPr>
        <w:t>ing days (</w:t>
      </w:r>
      <w:hyperlink r:id="rId417" w:history="1">
        <w:hyperlink r:id="rId418" w:history="1">
          <w:hyperlink r:id="rId419" w:history="1">
            <w:r w:rsidRPr="00EC7C33">
              <w:rPr>
                <w:rStyle w:val="Hyperlink"/>
              </w:rPr>
              <w:t>LA</w:t>
            </w:r>
          </w:hyperlink>
          <w:r w:rsidRPr="00EC7C33">
            <w:rPr>
              <w:rStyle w:val="Hyperlink"/>
            </w:rPr>
            <w:t xml:space="preserve"> </w:t>
          </w:r>
        </w:hyperlink>
      </w:hyperlink>
      <w:r w:rsidRPr="00EC7C33">
        <w:rPr>
          <w:spacing w:val="-2"/>
        </w:rPr>
        <w:t>s 42), u</w:t>
      </w:r>
      <w:r w:rsidRPr="00FD274F">
        <w:rPr>
          <w:spacing w:val="-2"/>
        </w:rPr>
        <w:t>nless an exemption applies (</w:t>
      </w:r>
      <w:hyperlink r:id="rId420" w:history="1">
        <w:hyperlink r:id="rId421" w:history="1">
          <w:hyperlink r:id="rId422" w:history="1">
            <w:r w:rsidRPr="00EC7C33">
              <w:rPr>
                <w:rStyle w:val="Hyperlink"/>
              </w:rPr>
              <w:t>LA</w:t>
            </w:r>
          </w:hyperlink>
          <w:r w:rsidRPr="00EC7C33">
            <w:rPr>
              <w:rStyle w:val="Hyperlink"/>
            </w:rPr>
            <w:t xml:space="preserve"> </w:t>
          </w:r>
        </w:hyperlink>
      </w:hyperlink>
      <w:r w:rsidRPr="00EC7C33">
        <w:rPr>
          <w:spacing w:val="-2"/>
        </w:rPr>
        <w:t>s</w:t>
      </w:r>
      <w:r w:rsidRPr="00EC7C33">
        <w:t> </w:t>
      </w:r>
      <w:r w:rsidRPr="00EC7C33">
        <w:rPr>
          <w:spacing w:val="-2"/>
        </w:rPr>
        <w:t>44); and</w:t>
      </w:r>
    </w:p>
    <w:p w14:paraId="2BCA2EF8" w14:textId="77777777" w:rsidR="00E86304" w:rsidRPr="00FD274F" w:rsidRDefault="00E86304" w:rsidP="00E86304">
      <w:pPr>
        <w:pStyle w:val="BodyPara"/>
      </w:pPr>
      <w:r w:rsidRPr="00FD274F">
        <w:lastRenderedPageBreak/>
        <w:t>a legislative instrument generally cannot be remade pending tabling or for a period after tabli</w:t>
      </w:r>
      <w:r w:rsidRPr="00EC7C33">
        <w:t>ng (</w:t>
      </w:r>
      <w:hyperlink r:id="rId423" w:history="1">
        <w:hyperlink r:id="rId424" w:history="1">
          <w:hyperlink r:id="rId425" w:history="1">
            <w:r w:rsidRPr="00EC7C33">
              <w:rPr>
                <w:rStyle w:val="Hyperlink"/>
              </w:rPr>
              <w:t>LA</w:t>
            </w:r>
          </w:hyperlink>
          <w:r w:rsidRPr="00EC7C33">
            <w:rPr>
              <w:rStyle w:val="Hyperlink"/>
            </w:rPr>
            <w:t xml:space="preserve"> </w:t>
          </w:r>
        </w:hyperlink>
      </w:hyperlink>
      <w:r w:rsidRPr="00EC7C33">
        <w:t>s 46), w</w:t>
      </w:r>
      <w:r w:rsidRPr="00FD274F">
        <w:t>hile open to disallowanc</w:t>
      </w:r>
      <w:r w:rsidRPr="00EC7C33">
        <w:t>e (</w:t>
      </w:r>
      <w:hyperlink r:id="rId426" w:history="1">
        <w:hyperlink r:id="rId427" w:history="1">
          <w:hyperlink r:id="rId428" w:history="1">
            <w:r w:rsidRPr="00EC7C33">
              <w:rPr>
                <w:rStyle w:val="Hyperlink"/>
              </w:rPr>
              <w:t>LA</w:t>
            </w:r>
          </w:hyperlink>
          <w:r w:rsidRPr="00EC7C33">
            <w:rPr>
              <w:rStyle w:val="Hyperlink"/>
            </w:rPr>
            <w:t xml:space="preserve"> </w:t>
          </w:r>
        </w:hyperlink>
      </w:hyperlink>
      <w:r w:rsidRPr="00EC7C33">
        <w:t>s 47)</w:t>
      </w:r>
      <w:r w:rsidRPr="00FD274F">
        <w:t xml:space="preserve"> or, if the instrument is disallowed, for 6 months after disallow</w:t>
      </w:r>
      <w:r w:rsidRPr="00EC7C33">
        <w:t>ance (</w:t>
      </w:r>
      <w:hyperlink r:id="rId429" w:history="1">
        <w:hyperlink r:id="rId430" w:history="1">
          <w:hyperlink r:id="rId431" w:history="1">
            <w:r w:rsidRPr="00EC7C33">
              <w:rPr>
                <w:rStyle w:val="Hyperlink"/>
              </w:rPr>
              <w:t>LA</w:t>
            </w:r>
          </w:hyperlink>
          <w:r w:rsidRPr="00EC7C33">
            <w:rPr>
              <w:rStyle w:val="Hyperlink"/>
            </w:rPr>
            <w:t xml:space="preserve"> </w:t>
          </w:r>
        </w:hyperlink>
      </w:hyperlink>
      <w:r w:rsidRPr="00EC7C33">
        <w:t>s 48).</w:t>
      </w:r>
    </w:p>
    <w:p w14:paraId="0678AB2D" w14:textId="77777777" w:rsidR="00E86304" w:rsidRPr="00EC7C33" w:rsidRDefault="00E86304" w:rsidP="00E86304">
      <w:pPr>
        <w:pStyle w:val="BodyNum"/>
        <w:keepNext/>
        <w:keepLines/>
      </w:pPr>
      <w:bookmarkStart w:id="168" w:name="_Ref440451882"/>
      <w:r w:rsidRPr="00FD274F">
        <w:t xml:space="preserve">The Parliament’s sitting schedule is normally released at the start of each Parliament and each year, but extra sittings may be scheduled as needed. The Houses may sit on different days, and a </w:t>
      </w:r>
      <w:r w:rsidRPr="00FD274F">
        <w:rPr>
          <w:b/>
          <w:i/>
        </w:rPr>
        <w:t>sitting day</w:t>
      </w:r>
      <w:r w:rsidRPr="00FD274F">
        <w:t xml:space="preserve"> does not necessarily correspond to a calendar day</w:t>
      </w:r>
      <w:r>
        <w:t xml:space="preserve"> </w:t>
      </w:r>
      <w:r w:rsidRPr="00EC7C33">
        <w:t xml:space="preserve">(see </w:t>
      </w:r>
      <w:hyperlink r:id="rId432" w:history="1">
        <w:hyperlink r:id="rId433" w:history="1">
          <w:r w:rsidRPr="00EC7C33">
            <w:rPr>
              <w:rStyle w:val="Hyperlink"/>
              <w:i/>
            </w:rPr>
            <w:t>Acts Interpretation Act 1901</w:t>
          </w:r>
        </w:hyperlink>
      </w:hyperlink>
      <w:r w:rsidRPr="00EC7C33">
        <w:t xml:space="preserve"> s 2M). For example:</w:t>
      </w:r>
      <w:bookmarkEnd w:id="168"/>
    </w:p>
    <w:p w14:paraId="5E4B90F9" w14:textId="77777777" w:rsidR="00E86304" w:rsidRPr="00FD274F" w:rsidRDefault="00E86304" w:rsidP="00E86304">
      <w:pPr>
        <w:pStyle w:val="BodyPara"/>
      </w:pPr>
      <w:r w:rsidRPr="00FD274F">
        <w:t>a sitting day may extend beyond a calenda</w:t>
      </w:r>
      <w:r>
        <w:t>r day if a House sits late; and</w:t>
      </w:r>
    </w:p>
    <w:p w14:paraId="14058012" w14:textId="77777777" w:rsidR="00E86304" w:rsidRPr="00CA2E52" w:rsidRDefault="00E86304" w:rsidP="00E86304">
      <w:pPr>
        <w:pStyle w:val="BodyPara"/>
      </w:pPr>
      <w:r w:rsidRPr="00CA2E52">
        <w:t xml:space="preserve">a sitting </w:t>
      </w:r>
      <w:r>
        <w:t xml:space="preserve">without adjournment </w:t>
      </w:r>
      <w:r w:rsidRPr="00CA2E52">
        <w:t>that is suspended and resumes on a later day onl</w:t>
      </w:r>
      <w:r>
        <w:t>y counts as one sitting day.</w:t>
      </w:r>
    </w:p>
    <w:p w14:paraId="320EDD53" w14:textId="77777777" w:rsidR="00E86304" w:rsidRPr="00FD274F" w:rsidRDefault="00E86304" w:rsidP="00E86304">
      <w:pPr>
        <w:pStyle w:val="BodyNum"/>
      </w:pPr>
      <w:r w:rsidRPr="00FD274F">
        <w:t>For the purpose</w:t>
      </w:r>
      <w:r w:rsidRPr="00EC7C33">
        <w:t xml:space="preserve">s of Part 2 of Chapter 3 of the </w:t>
      </w:r>
      <w:hyperlink r:id="rId434" w:history="1">
        <w:hyperlink r:id="rId435" w:history="1">
          <w:hyperlink r:id="rId436" w:history="1">
            <w:r w:rsidRPr="00EC7C33">
              <w:rPr>
                <w:rStyle w:val="Hyperlink"/>
              </w:rPr>
              <w:t>LA</w:t>
            </w:r>
          </w:hyperlink>
        </w:hyperlink>
      </w:hyperlink>
      <w:r w:rsidRPr="00EC7C33">
        <w:t>, 15</w:t>
      </w:r>
      <w:r w:rsidRPr="00FD274F">
        <w:t xml:space="preserve"> sitting days of a House of the Parliament can equate to several months and is calculated from the first sitting day of a House after the sitting day on which the instrument is tabled. Similarly, the 6</w:t>
      </w:r>
      <w:r>
        <w:noBreakHyphen/>
      </w:r>
      <w:r w:rsidRPr="00FD274F">
        <w:t>sitting day deadline for the tabling of an instrument is calculated from the first sitting day of a House after the day of registration.</w:t>
      </w:r>
    </w:p>
    <w:p w14:paraId="7F4D8820" w14:textId="77777777" w:rsidR="00E86304" w:rsidRPr="00FD274F" w:rsidRDefault="00E86304" w:rsidP="00E86304">
      <w:pPr>
        <w:pStyle w:val="Head4"/>
      </w:pPr>
      <w:r w:rsidRPr="00FD274F">
        <w:t>If an enabling Act has special requirements for tabling or disallowance</w:t>
      </w:r>
    </w:p>
    <w:p w14:paraId="5C6C1EB2" w14:textId="77777777" w:rsidR="00E86304" w:rsidRPr="00FD274F" w:rsidRDefault="00E86304" w:rsidP="00E86304">
      <w:pPr>
        <w:pStyle w:val="BodyNum"/>
      </w:pPr>
      <w:r w:rsidRPr="00FD274F">
        <w:t xml:space="preserve">An instrument’s enabling legislation sometimes includes provisions for the tabling or disallowance of instruments that duplicate or differ from the standard regime established by the </w:t>
      </w:r>
      <w:hyperlink r:id="rId437" w:history="1">
        <w:hyperlink r:id="rId438" w:history="1">
          <w:hyperlink r:id="rId439" w:history="1">
            <w:r w:rsidRPr="00EC7C33">
              <w:rPr>
                <w:rStyle w:val="Hyperlink"/>
              </w:rPr>
              <w:t>LA</w:t>
            </w:r>
          </w:hyperlink>
        </w:hyperlink>
      </w:hyperlink>
      <w:r w:rsidRPr="00EC7C33">
        <w:t>.</w:t>
      </w:r>
      <w:r w:rsidRPr="00FD274F">
        <w:t xml:space="preserve"> The </w:t>
      </w:r>
      <w:hyperlink r:id="rId440" w:history="1">
        <w:hyperlink r:id="rId441" w:history="1">
          <w:hyperlink r:id="rId442" w:history="1">
            <w:r w:rsidRPr="00EC7C33">
              <w:rPr>
                <w:rStyle w:val="Hyperlink"/>
              </w:rPr>
              <w:t>LA</w:t>
            </w:r>
          </w:hyperlink>
        </w:hyperlink>
      </w:hyperlink>
      <w:r w:rsidRPr="00EC7C33">
        <w:t xml:space="preserve"> wi</w:t>
      </w:r>
      <w:r w:rsidRPr="00FD274F">
        <w:t>ll generally displace such special provisions, unless they:</w:t>
      </w:r>
    </w:p>
    <w:p w14:paraId="3AE2823C" w14:textId="77777777" w:rsidR="00E86304" w:rsidRPr="00FD274F" w:rsidRDefault="00E86304" w:rsidP="00E86304">
      <w:pPr>
        <w:pStyle w:val="BodyPara"/>
      </w:pPr>
      <w:r w:rsidRPr="00FD274F">
        <w:t xml:space="preserve">are preserved by regulations made under </w:t>
      </w:r>
      <w:r w:rsidRPr="00EC7C33">
        <w:t xml:space="preserve">subsection 57(5) of the </w:t>
      </w:r>
      <w:hyperlink r:id="rId443" w:history="1">
        <w:hyperlink r:id="rId444" w:history="1">
          <w:hyperlink r:id="rId445" w:history="1">
            <w:r w:rsidRPr="00EC7C33">
              <w:rPr>
                <w:rStyle w:val="Hyperlink"/>
              </w:rPr>
              <w:t>LA</w:t>
            </w:r>
          </w:hyperlink>
        </w:hyperlink>
      </w:hyperlink>
      <w:r w:rsidRPr="00EC7C33">
        <w:t>;</w:t>
      </w:r>
      <w:r w:rsidRPr="00FD274F">
        <w:t xml:space="preserve"> </w:t>
      </w:r>
      <w:r>
        <w:t>or</w:t>
      </w:r>
    </w:p>
    <w:p w14:paraId="1EAAFD08" w14:textId="77777777" w:rsidR="00E86304" w:rsidRPr="00FD274F" w:rsidRDefault="00E86304" w:rsidP="00E86304">
      <w:pPr>
        <w:pStyle w:val="BodyPara"/>
      </w:pPr>
      <w:r w:rsidRPr="00FD274F">
        <w:t xml:space="preserve">were made after the </w:t>
      </w:r>
      <w:hyperlink r:id="rId446" w:history="1">
        <w:r w:rsidRPr="00EC7C33">
          <w:rPr>
            <w:rStyle w:val="Hyperlink"/>
          </w:rPr>
          <w:t>LA</w:t>
        </w:r>
      </w:hyperlink>
      <w:r w:rsidRPr="00FD274F">
        <w:t xml:space="preserve"> commenced on 1 January 2005.</w:t>
      </w:r>
    </w:p>
    <w:p w14:paraId="20B9EF74" w14:textId="77777777" w:rsidR="00E86304" w:rsidRPr="00FD274F" w:rsidRDefault="00E86304" w:rsidP="00E86304">
      <w:pPr>
        <w:pStyle w:val="BodyNum"/>
      </w:pPr>
      <w:r w:rsidRPr="00FD274F">
        <w:t xml:space="preserve">If a special regime for tabling or disallowance applies, agencies should flag this as a special requirement when lodging the instrument for registration, and make their own calculations as to deadlines. Agencies should also consider adopting </w:t>
      </w:r>
      <w:r w:rsidRPr="00EC7C33">
        <w:t xml:space="preserve">the </w:t>
      </w:r>
      <w:hyperlink r:id="rId447" w:history="1">
        <w:r w:rsidRPr="00EC7C33">
          <w:rPr>
            <w:rStyle w:val="Hyperlink"/>
          </w:rPr>
          <w:t>LA</w:t>
        </w:r>
      </w:hyperlink>
      <w:r w:rsidRPr="00EC7C33">
        <w:t xml:space="preserve"> s</w:t>
      </w:r>
      <w:r w:rsidRPr="00FD274F">
        <w:t xml:space="preserve">tandard to avoid making the scrutiny process more complex than it needs to </w:t>
      </w:r>
      <w:r w:rsidRPr="00EC7C33">
        <w:t>be</w:t>
      </w:r>
      <w:r w:rsidRPr="00EC7C33">
        <w:rPr>
          <w:rStyle w:val="FootnoteReference"/>
        </w:rPr>
        <w:footnoteReference w:id="35"/>
      </w:r>
      <w:r w:rsidRPr="00EC7C33">
        <w:t>.</w:t>
      </w:r>
    </w:p>
    <w:p w14:paraId="1823FCED" w14:textId="77777777" w:rsidR="00E86304" w:rsidRPr="00FD274F" w:rsidRDefault="00E86304" w:rsidP="00E86304">
      <w:pPr>
        <w:pStyle w:val="Head3"/>
      </w:pPr>
      <w:bookmarkStart w:id="169" w:name="_Toc238117576"/>
      <w:r>
        <w:t xml:space="preserve">Responsibility </w:t>
      </w:r>
      <w:r w:rsidRPr="00FD274F">
        <w:t>for delivering instruments for tabling</w:t>
      </w:r>
      <w:bookmarkEnd w:id="169"/>
    </w:p>
    <w:p w14:paraId="37AAC406" w14:textId="77777777" w:rsidR="00E86304" w:rsidRPr="00FD274F" w:rsidRDefault="00E86304" w:rsidP="00E86304">
      <w:pPr>
        <w:pStyle w:val="BodyNum"/>
      </w:pPr>
      <w:proofErr w:type="spellStart"/>
      <w:r w:rsidRPr="00FD274F">
        <w:t>OPC</w:t>
      </w:r>
      <w:proofErr w:type="spellEnd"/>
      <w:r w:rsidRPr="00FD274F">
        <w:t xml:space="preserve"> is responsible for delivering registered instruments for tabling (</w:t>
      </w:r>
      <w:hyperlink r:id="rId448" w:history="1">
        <w:hyperlink r:id="rId449" w:history="1">
          <w:hyperlink r:id="rId450" w:history="1">
            <w:hyperlink r:id="rId451" w:history="1">
              <w:r w:rsidRPr="00EC7C33">
                <w:rPr>
                  <w:rStyle w:val="Hyperlink"/>
                </w:rPr>
                <w:t>LA</w:t>
              </w:r>
            </w:hyperlink>
            <w:r w:rsidRPr="00EC7C33">
              <w:rPr>
                <w:rStyle w:val="Hyperlink"/>
              </w:rPr>
              <w:t xml:space="preserve"> </w:t>
            </w:r>
          </w:hyperlink>
        </w:hyperlink>
      </w:hyperlink>
      <w:r w:rsidRPr="00EC7C33">
        <w:t>s 38(1)),</w:t>
      </w:r>
      <w:r w:rsidRPr="00FD274F">
        <w:t xml:space="preserve"> and generally does so as soon as practicable after they are registered whether or not the Parliament is sitting. As part of this process, </w:t>
      </w:r>
      <w:proofErr w:type="spellStart"/>
      <w:r w:rsidRPr="00FD274F">
        <w:t>OPC</w:t>
      </w:r>
      <w:proofErr w:type="spellEnd"/>
      <w:r w:rsidRPr="00FD274F">
        <w:t>:</w:t>
      </w:r>
    </w:p>
    <w:p w14:paraId="2D2EEF4D" w14:textId="77777777" w:rsidR="00E86304" w:rsidRPr="00FD274F" w:rsidRDefault="00E86304" w:rsidP="00E86304">
      <w:pPr>
        <w:pStyle w:val="BodyPara"/>
      </w:pPr>
      <w:r>
        <w:t>delivers</w:t>
      </w:r>
      <w:r w:rsidRPr="00FD274F">
        <w:t xml:space="preserve"> </w:t>
      </w:r>
      <w:r>
        <w:t>hard copies of each instrument and its explanatory statement, including any supplementary materials such as an Impact Analysis, to the Table Offices</w:t>
      </w:r>
      <w:r w:rsidRPr="00FD274F">
        <w:t>; and</w:t>
      </w:r>
    </w:p>
    <w:p w14:paraId="7C9F1DA2" w14:textId="77777777" w:rsidR="00E86304" w:rsidRPr="00FD274F" w:rsidRDefault="00E86304" w:rsidP="00E86304">
      <w:pPr>
        <w:pStyle w:val="BodyPara"/>
      </w:pPr>
      <w:r w:rsidRPr="00FD274F">
        <w:t>works wi</w:t>
      </w:r>
      <w:r>
        <w:t>th the T</w:t>
      </w:r>
      <w:r w:rsidRPr="00FD274F">
        <w:t xml:space="preserve">able </w:t>
      </w:r>
      <w:r>
        <w:t>O</w:t>
      </w:r>
      <w:r w:rsidRPr="00FD274F">
        <w:t>ffices to ensure that instruments are tabled before the relevant deadline</w:t>
      </w:r>
      <w:r>
        <w:t>.</w:t>
      </w:r>
    </w:p>
    <w:p w14:paraId="7F40C6AF" w14:textId="77777777" w:rsidR="00E86304" w:rsidRDefault="00E86304" w:rsidP="00E86304">
      <w:pPr>
        <w:pStyle w:val="BodyNum"/>
      </w:pPr>
      <w:proofErr w:type="spellStart"/>
      <w:r>
        <w:lastRenderedPageBreak/>
        <w:t>OPC</w:t>
      </w:r>
      <w:proofErr w:type="spellEnd"/>
      <w:r>
        <w:t xml:space="preserve"> is also responsible for delivering rectified disallowable legislative instruments for re</w:t>
      </w:r>
      <w:r>
        <w:noBreakHyphen/>
        <w:t xml:space="preserve">tabling </w:t>
      </w:r>
      <w:r w:rsidRPr="00FD274F">
        <w:t>(</w:t>
      </w:r>
      <w:r>
        <w:t>s</w:t>
      </w:r>
      <w:r w:rsidRPr="007809FB">
        <w:t xml:space="preserve">ee paragraph </w:t>
      </w:r>
      <w:r w:rsidRPr="007809FB">
        <w:fldChar w:fldCharType="begin"/>
      </w:r>
      <w:r w:rsidRPr="007809FB">
        <w:instrText xml:space="preserve"> REF _Ref2948989 \r \h </w:instrText>
      </w:r>
      <w:r>
        <w:rPr>
          <w:highlight w:val="yellow"/>
        </w:rPr>
        <w:instrText xml:space="preserve"> \* MERGEFORMAT </w:instrText>
      </w:r>
      <w:r w:rsidRPr="007809FB">
        <w:fldChar w:fldCharType="separate"/>
      </w:r>
      <w:r>
        <w:t>191</w:t>
      </w:r>
      <w:r w:rsidRPr="007809FB">
        <w:fldChar w:fldCharType="end"/>
      </w:r>
      <w:r w:rsidRPr="007809FB">
        <w:t xml:space="preserve"> a</w:t>
      </w:r>
      <w:r>
        <w:t xml:space="preserve">nd </w:t>
      </w:r>
      <w:hyperlink r:id="rId452" w:history="1">
        <w:hyperlink r:id="rId453" w:history="1">
          <w:hyperlink r:id="rId454" w:history="1">
            <w:hyperlink r:id="rId455" w:history="1">
              <w:r w:rsidRPr="00EC7C33">
                <w:rPr>
                  <w:rStyle w:val="Hyperlink"/>
                </w:rPr>
                <w:t>LA</w:t>
              </w:r>
            </w:hyperlink>
            <w:r w:rsidRPr="00EC7C33">
              <w:rPr>
                <w:rStyle w:val="Hyperlink"/>
              </w:rPr>
              <w:t xml:space="preserve"> </w:t>
            </w:r>
          </w:hyperlink>
        </w:hyperlink>
      </w:hyperlink>
      <w:r w:rsidRPr="00EC7C33">
        <w:t>s 15DA(2)).</w:t>
      </w:r>
    </w:p>
    <w:p w14:paraId="73132B12" w14:textId="77777777" w:rsidR="00E86304" w:rsidRDefault="00E86304" w:rsidP="00E86304">
      <w:pPr>
        <w:pStyle w:val="BodyNum"/>
      </w:pPr>
      <w:r>
        <w:t>If an agency wants registered documents tabled urgently, or has some other specific tabling requirement, the agency should go through its normal parliamentary liaison channels to make an arrangement with the Table Offices and relevant scrutiny bodies.</w:t>
      </w:r>
    </w:p>
    <w:p w14:paraId="4168495A" w14:textId="77777777" w:rsidR="00E86304" w:rsidRDefault="00E86304" w:rsidP="00E86304">
      <w:pPr>
        <w:pStyle w:val="BodyNum"/>
      </w:pPr>
      <w:r>
        <w:t>For urgent tabling, please note that:</w:t>
      </w:r>
    </w:p>
    <w:p w14:paraId="58D2C641" w14:textId="77777777" w:rsidR="00E86304" w:rsidRDefault="00E86304" w:rsidP="00E86304">
      <w:pPr>
        <w:pStyle w:val="BodyPara"/>
      </w:pPr>
      <w:proofErr w:type="spellStart"/>
      <w:r>
        <w:t>OPC</w:t>
      </w:r>
      <w:proofErr w:type="spellEnd"/>
      <w:r>
        <w:t xml:space="preserve"> will work to prepare registered documents and reports for delivery to the table offices as soon as practicable but, particularly for larger documents, consideration for processing time should be taken into account; and</w:t>
      </w:r>
    </w:p>
    <w:p w14:paraId="290C8D2C" w14:textId="77777777" w:rsidR="00E86304" w:rsidRDefault="00E86304" w:rsidP="00E86304">
      <w:pPr>
        <w:pStyle w:val="BodyPara"/>
      </w:pPr>
      <w:r>
        <w:t xml:space="preserve">while agencies are required to negotiate any special arrangements with the Table Offices, </w:t>
      </w:r>
      <w:proofErr w:type="spellStart"/>
      <w:r>
        <w:t>OPC</w:t>
      </w:r>
      <w:proofErr w:type="spellEnd"/>
      <w:r>
        <w:t xml:space="preserve"> is still responsible for the delivery of registered documents for tabling.</w:t>
      </w:r>
    </w:p>
    <w:p w14:paraId="6190977D" w14:textId="77777777" w:rsidR="00E86304" w:rsidRPr="00FD274F" w:rsidRDefault="00E86304" w:rsidP="00E86304">
      <w:pPr>
        <w:pStyle w:val="BodyNum"/>
      </w:pPr>
      <w:r w:rsidRPr="00FD274F">
        <w:t xml:space="preserve">There are strict deadlines for tabling instruments. If a registered instrument is not tabled in a House of the Parliament within 6 sitting days after the day of registration, it </w:t>
      </w:r>
      <w:r>
        <w:t>is repealed</w:t>
      </w:r>
      <w:r w:rsidRPr="00FD274F">
        <w:t xml:space="preserve"> immediately after the 6th da</w:t>
      </w:r>
      <w:r w:rsidRPr="00EC7C33">
        <w:t>y (</w:t>
      </w:r>
      <w:hyperlink r:id="rId456" w:history="1">
        <w:hyperlink r:id="rId457" w:history="1">
          <w:hyperlink r:id="rId458" w:history="1">
            <w:hyperlink r:id="rId459" w:history="1">
              <w:r w:rsidRPr="00EC7C33">
                <w:rPr>
                  <w:rStyle w:val="Hyperlink"/>
                </w:rPr>
                <w:t>LA</w:t>
              </w:r>
            </w:hyperlink>
            <w:r w:rsidRPr="00EC7C33">
              <w:rPr>
                <w:rStyle w:val="Hyperlink"/>
              </w:rPr>
              <w:t xml:space="preserve"> </w:t>
            </w:r>
          </w:hyperlink>
        </w:hyperlink>
      </w:hyperlink>
      <w:r w:rsidRPr="00EC7C33">
        <w:t>s 38(3)).</w:t>
      </w:r>
    </w:p>
    <w:p w14:paraId="031093B2" w14:textId="77777777" w:rsidR="00E86304" w:rsidRPr="00FD274F" w:rsidRDefault="00E86304" w:rsidP="00E86304">
      <w:pPr>
        <w:pStyle w:val="BodyNum"/>
      </w:pPr>
      <w:proofErr w:type="spellStart"/>
      <w:r w:rsidRPr="00FD274F">
        <w:t>OPC</w:t>
      </w:r>
      <w:proofErr w:type="spellEnd"/>
      <w:r w:rsidRPr="00FD274F">
        <w:t xml:space="preserve"> monitors tabling processes and routinely records relevant dates in the Register for the information of agency staff and external stakeholders. Tabling information can also be obtained from the Journals of the Senat</w:t>
      </w:r>
      <w:r w:rsidRPr="00EC7C33">
        <w:t>e</w:t>
      </w:r>
      <w:r w:rsidRPr="00EC7C33">
        <w:rPr>
          <w:rStyle w:val="FootnoteReference"/>
        </w:rPr>
        <w:footnoteReference w:id="36"/>
      </w:r>
      <w:r w:rsidRPr="00EC7C33">
        <w:t xml:space="preserve"> a</w:t>
      </w:r>
      <w:r w:rsidRPr="00FD274F">
        <w:t>nd the Votes and Proceedings of the House of Representative</w:t>
      </w:r>
      <w:r w:rsidRPr="00EC7C33">
        <w:t>s</w:t>
      </w:r>
      <w:r w:rsidRPr="00EC7C33">
        <w:rPr>
          <w:rStyle w:val="FootnoteReference"/>
        </w:rPr>
        <w:footnoteReference w:id="37"/>
      </w:r>
      <w:r w:rsidRPr="00EC7C33">
        <w:t>.</w:t>
      </w:r>
    </w:p>
    <w:p w14:paraId="2DFEBBC1" w14:textId="77777777" w:rsidR="00E86304" w:rsidRPr="00FD274F" w:rsidRDefault="00E86304" w:rsidP="00E86304">
      <w:pPr>
        <w:pStyle w:val="Head4"/>
      </w:pPr>
      <w:r w:rsidRPr="00FD274F">
        <w:t>If either House requires more information</w:t>
      </w:r>
    </w:p>
    <w:p w14:paraId="20759569" w14:textId="77777777" w:rsidR="00E86304" w:rsidRPr="00FD274F" w:rsidRDefault="00E86304" w:rsidP="00E86304">
      <w:pPr>
        <w:pStyle w:val="BodyNum"/>
      </w:pPr>
      <w:bookmarkStart w:id="170" w:name="_Ref435530013"/>
      <w:r w:rsidRPr="00FD274F">
        <w:t>If a House of the Parliament requires more information about an instrument, the matter would normally be raised directly with the responsible Minister. A prompt response is usually enough to resolve factual questions associated with vague or incomplete explanatory material, or access to material incorporated by reference.</w:t>
      </w:r>
      <w:bookmarkEnd w:id="170"/>
    </w:p>
    <w:p w14:paraId="59F1B3C3" w14:textId="77777777" w:rsidR="00E86304" w:rsidRPr="00FD274F" w:rsidRDefault="00E86304" w:rsidP="00E86304">
      <w:pPr>
        <w:pStyle w:val="BodyNum"/>
      </w:pPr>
      <w:r w:rsidRPr="00FD274F">
        <w:t xml:space="preserve"> </w:t>
      </w:r>
      <w:bookmarkStart w:id="171" w:name="_Ref435530018"/>
      <w:r w:rsidRPr="00FD274F">
        <w:t xml:space="preserve">If the matter is not dealt with to the satisfaction of a House, that House may escalate </w:t>
      </w:r>
      <w:r>
        <w:t>the matter</w:t>
      </w:r>
      <w:r w:rsidRPr="00FD274F">
        <w:t xml:space="preserve"> </w:t>
      </w:r>
      <w:r>
        <w:t>(</w:t>
      </w:r>
      <w:r w:rsidRPr="00FD274F">
        <w:t>for example, by giving notice of motion to disallow the instrument</w:t>
      </w:r>
      <w:r>
        <w:t>)</w:t>
      </w:r>
      <w:r w:rsidRPr="00FD274F">
        <w:t>. Less commonly, a House may also choose:</w:t>
      </w:r>
      <w:bookmarkEnd w:id="171"/>
    </w:p>
    <w:p w14:paraId="288A18C8" w14:textId="77777777" w:rsidR="00E86304" w:rsidRPr="00FD274F" w:rsidRDefault="00E86304" w:rsidP="00E86304">
      <w:pPr>
        <w:pStyle w:val="BodyPara"/>
      </w:pPr>
      <w:r w:rsidRPr="00FD274F">
        <w:t>to formally require documents incorporated by reference in a disallowable legislative instrument to be made available for inspe</w:t>
      </w:r>
      <w:r w:rsidRPr="00EC7C33">
        <w:t>ction (</w:t>
      </w:r>
      <w:hyperlink r:id="rId460" w:history="1">
        <w:hyperlink r:id="rId461" w:history="1">
          <w:hyperlink r:id="rId462" w:history="1">
            <w:hyperlink r:id="rId463" w:history="1">
              <w:r w:rsidRPr="00EC7C33">
                <w:rPr>
                  <w:rStyle w:val="Hyperlink"/>
                </w:rPr>
                <w:t>LA</w:t>
              </w:r>
            </w:hyperlink>
            <w:r w:rsidRPr="00EC7C33">
              <w:rPr>
                <w:rStyle w:val="Hyperlink"/>
              </w:rPr>
              <w:t xml:space="preserve"> </w:t>
            </w:r>
          </w:hyperlink>
        </w:hyperlink>
      </w:hyperlink>
      <w:r w:rsidRPr="00EC7C33">
        <w:t>s 41);</w:t>
      </w:r>
      <w:r w:rsidRPr="00FD274F">
        <w:t xml:space="preserve"> or</w:t>
      </w:r>
    </w:p>
    <w:p w14:paraId="54E57B6F" w14:textId="77777777" w:rsidR="00E86304" w:rsidRPr="00FD274F" w:rsidRDefault="00E86304" w:rsidP="00E86304">
      <w:pPr>
        <w:pStyle w:val="BodyPara"/>
      </w:pPr>
      <w:r w:rsidRPr="00FD274F">
        <w:t>to refer a matter to a committee for investigation; or</w:t>
      </w:r>
    </w:p>
    <w:p w14:paraId="02BD35CF" w14:textId="77777777" w:rsidR="00E86304" w:rsidRPr="00FD274F" w:rsidRDefault="00E86304" w:rsidP="00E86304">
      <w:pPr>
        <w:pStyle w:val="BodyPara"/>
      </w:pPr>
      <w:r w:rsidRPr="00FD274F">
        <w:t>to call witnesses to answer questions at hearings, which may be open or broadcast to the public.</w:t>
      </w:r>
    </w:p>
    <w:p w14:paraId="2FC5E991" w14:textId="77777777" w:rsidR="00E86304" w:rsidRPr="00FD274F" w:rsidRDefault="00E86304" w:rsidP="00E86304">
      <w:pPr>
        <w:pStyle w:val="Head4"/>
      </w:pPr>
      <w:r w:rsidRPr="00FD274F">
        <w:lastRenderedPageBreak/>
        <w:t>If extra documents need to be tabled or made available</w:t>
      </w:r>
    </w:p>
    <w:p w14:paraId="569E2F53" w14:textId="77777777" w:rsidR="00E86304" w:rsidRDefault="00E86304" w:rsidP="00E86304">
      <w:pPr>
        <w:pStyle w:val="BodyNum"/>
      </w:pPr>
      <w:bookmarkStart w:id="172" w:name="_Ref384719737"/>
      <w:r w:rsidRPr="00FD274F">
        <w:t xml:space="preserve">If a replacement or supplementary explanatory statement is issued, it needs to meet certain requirements and should be lodged promptly with </w:t>
      </w:r>
      <w:proofErr w:type="spellStart"/>
      <w:r w:rsidRPr="00FD274F">
        <w:t>OPC</w:t>
      </w:r>
      <w:proofErr w:type="spellEnd"/>
      <w:r w:rsidRPr="00FD274F">
        <w:t xml:space="preserve"> for registration and delivery for tabling (see paragra</w:t>
      </w:r>
      <w:r w:rsidRPr="00F431F8">
        <w:t xml:space="preserve">phs </w:t>
      </w:r>
      <w:r w:rsidRPr="00EC7C33">
        <w:fldChar w:fldCharType="begin"/>
      </w:r>
      <w:r w:rsidRPr="00F431F8">
        <w:instrText xml:space="preserve"> REF _Ref29483854 \r \h </w:instrText>
      </w:r>
      <w:r>
        <w:rPr>
          <w:highlight w:val="yellow"/>
        </w:rPr>
        <w:instrText xml:space="preserve"> \* MERGEFORMAT </w:instrText>
      </w:r>
      <w:r w:rsidRPr="00EC7C33">
        <w:fldChar w:fldCharType="separate"/>
      </w:r>
      <w:r>
        <w:t>266</w:t>
      </w:r>
      <w:r w:rsidRPr="00EC7C33">
        <w:fldChar w:fldCharType="end"/>
      </w:r>
      <w:r w:rsidRPr="00F431F8">
        <w:t xml:space="preserve"> to </w:t>
      </w:r>
      <w:r w:rsidRPr="00EC7C33">
        <w:fldChar w:fldCharType="begin"/>
      </w:r>
      <w:r w:rsidRPr="00F431F8">
        <w:instrText xml:space="preserve"> REF _Ref29483856 \r \h </w:instrText>
      </w:r>
      <w:r>
        <w:rPr>
          <w:highlight w:val="yellow"/>
        </w:rPr>
        <w:instrText xml:space="preserve"> \* MERGEFORMAT </w:instrText>
      </w:r>
      <w:r w:rsidRPr="00EC7C33">
        <w:fldChar w:fldCharType="separate"/>
      </w:r>
      <w:r>
        <w:t>268</w:t>
      </w:r>
      <w:r w:rsidRPr="00EC7C33">
        <w:fldChar w:fldCharType="end"/>
      </w:r>
      <w:r w:rsidRPr="00EC7C33">
        <w:rPr>
          <w:b/>
          <w:bCs/>
          <w:lang w:val="en-US"/>
        </w:rPr>
        <w:fldChar w:fldCharType="begin"/>
      </w:r>
      <w:r w:rsidRPr="00EC7C33">
        <w:rPr>
          <w:b/>
          <w:bCs/>
          <w:lang w:val="en-US"/>
        </w:rPr>
        <w:instrText xml:space="preserve"> Error! Reference source not found. </w:instrText>
      </w:r>
      <w:r w:rsidRPr="00EC7C33">
        <w:rPr>
          <w:b/>
          <w:bCs/>
          <w:lang w:val="en-US"/>
        </w:rPr>
        <w:fldChar w:fldCharType="end"/>
      </w:r>
      <w:r w:rsidRPr="00F431F8">
        <w:t>).</w:t>
      </w:r>
      <w:bookmarkEnd w:id="172"/>
    </w:p>
    <w:p w14:paraId="0D8A7738" w14:textId="77777777" w:rsidR="00E86304" w:rsidRPr="00FD274F" w:rsidRDefault="00E86304" w:rsidP="00E86304">
      <w:pPr>
        <w:pStyle w:val="BodyNum"/>
      </w:pPr>
      <w:r w:rsidRPr="00FD274F">
        <w:t xml:space="preserve">Other documents cannot be lodged for tabling through </w:t>
      </w:r>
      <w:proofErr w:type="spellStart"/>
      <w:r w:rsidRPr="00FD274F">
        <w:t>OPC</w:t>
      </w:r>
      <w:proofErr w:type="spellEnd"/>
      <w:r w:rsidRPr="00FD274F">
        <w:t xml:space="preserve">. The relevant agency should prepare and lodge these for tabling in accordance with the current </w:t>
      </w:r>
      <w:r>
        <w:t xml:space="preserve">Tabling </w:t>
      </w:r>
      <w:r w:rsidRPr="00FD274F">
        <w:t>Guidelines</w:t>
      </w:r>
      <w:r w:rsidRPr="00FD274F">
        <w:rPr>
          <w:rStyle w:val="FootnoteReference"/>
        </w:rPr>
        <w:footnoteReference w:id="38"/>
      </w:r>
      <w:r w:rsidRPr="00FD274F">
        <w:t>. It may also be appropriate to provide additional courtesy copies to relevant scrutiny bodies.</w:t>
      </w:r>
    </w:p>
    <w:p w14:paraId="140C60AF" w14:textId="77777777" w:rsidR="00E86304" w:rsidRPr="00FD274F" w:rsidRDefault="00E86304" w:rsidP="00E86304">
      <w:pPr>
        <w:pStyle w:val="Head3"/>
      </w:pPr>
      <w:bookmarkStart w:id="173" w:name="_Toc238117577"/>
      <w:r>
        <w:t>Disallowance</w:t>
      </w:r>
      <w:bookmarkEnd w:id="173"/>
    </w:p>
    <w:p w14:paraId="39E5DC09" w14:textId="77777777" w:rsidR="00E86304" w:rsidRPr="00FD274F" w:rsidRDefault="00E86304" w:rsidP="00E86304">
      <w:pPr>
        <w:pStyle w:val="BodyNum"/>
      </w:pPr>
      <w:r w:rsidRPr="00FD274F">
        <w:t xml:space="preserve">Under </w:t>
      </w:r>
      <w:r w:rsidRPr="00EC7C33">
        <w:t xml:space="preserve">the </w:t>
      </w:r>
      <w:hyperlink r:id="rId464" w:history="1">
        <w:r w:rsidRPr="00EC7C33">
          <w:rPr>
            <w:rStyle w:val="Hyperlink"/>
          </w:rPr>
          <w:t>LA</w:t>
        </w:r>
      </w:hyperlink>
      <w:r w:rsidRPr="00EC7C33">
        <w:t>, all</w:t>
      </w:r>
      <w:r w:rsidRPr="00FD274F">
        <w:t xml:space="preserve"> new legislative instruments are subject to disallowance by either House of the Parliament for a set period, unless they are explicitly exempted from disallowance. Exemptions may be set out in se</w:t>
      </w:r>
      <w:r w:rsidRPr="00EC7C33">
        <w:t xml:space="preserve">ction 44 of the </w:t>
      </w:r>
      <w:hyperlink r:id="rId465" w:history="1">
        <w:hyperlink r:id="rId466" w:history="1">
          <w:hyperlink r:id="rId467" w:history="1">
            <w:r w:rsidRPr="00EC7C33">
              <w:rPr>
                <w:rStyle w:val="Hyperlink"/>
              </w:rPr>
              <w:t>LA</w:t>
            </w:r>
          </w:hyperlink>
        </w:hyperlink>
      </w:hyperlink>
      <w:r w:rsidRPr="00EC7C33">
        <w:t>, s</w:t>
      </w:r>
      <w:r w:rsidRPr="00FD274F">
        <w:t>ecti</w:t>
      </w:r>
      <w:r w:rsidRPr="00EC7C33">
        <w:t xml:space="preserve">ons 9 and 10 of </w:t>
      </w:r>
      <w:hyperlink r:id="rId468" w:history="1">
        <w:hyperlink r:id="rId469" w:history="1">
          <w:hyperlink r:id="rId470" w:history="1">
            <w:r w:rsidRPr="00EC7C33">
              <w:rPr>
                <w:rStyle w:val="Hyperlink"/>
              </w:rPr>
              <w:t>LEOMR</w:t>
            </w:r>
          </w:hyperlink>
        </w:hyperlink>
      </w:hyperlink>
      <w:r w:rsidRPr="00EC7C33">
        <w:t>, or the</w:t>
      </w:r>
      <w:r>
        <w:t xml:space="preserve"> enabling legislation.</w:t>
      </w:r>
    </w:p>
    <w:p w14:paraId="42372388" w14:textId="77777777" w:rsidR="00E86304" w:rsidRPr="00FD274F" w:rsidRDefault="00E86304" w:rsidP="00E86304">
      <w:pPr>
        <w:pStyle w:val="BodyNum"/>
      </w:pPr>
      <w:r w:rsidRPr="00FD274F">
        <w:t xml:space="preserve">Tabling and disallowance requirements that were in force before 1 January 2005 have been, in almost all cases, superseded by </w:t>
      </w:r>
      <w:r>
        <w:t xml:space="preserve">the operation of </w:t>
      </w:r>
      <w:r w:rsidRPr="00FD274F">
        <w:t>s</w:t>
      </w:r>
      <w:r w:rsidRPr="00EC7C33">
        <w:t xml:space="preserve">ection 57 of the </w:t>
      </w:r>
      <w:hyperlink r:id="rId471" w:history="1">
        <w:hyperlink r:id="rId472" w:history="1">
          <w:hyperlink r:id="rId473" w:history="1">
            <w:r w:rsidRPr="00EC7C33">
              <w:rPr>
                <w:rStyle w:val="Hyperlink"/>
              </w:rPr>
              <w:t>LA</w:t>
            </w:r>
          </w:hyperlink>
        </w:hyperlink>
      </w:hyperlink>
      <w:r w:rsidRPr="00EC7C33">
        <w:t>.</w:t>
      </w:r>
      <w:r w:rsidRPr="00FD274F">
        <w:t xml:space="preserve"> However, earlier provisions continue to apply if those provisions:</w:t>
      </w:r>
    </w:p>
    <w:p w14:paraId="585ADF36" w14:textId="77777777" w:rsidR="00E86304" w:rsidRPr="00FD274F" w:rsidRDefault="00E86304" w:rsidP="00E86304">
      <w:pPr>
        <w:pStyle w:val="BodyPara"/>
      </w:pPr>
      <w:r w:rsidRPr="00FD274F">
        <w:t>are preserved by regulations made under subse</w:t>
      </w:r>
      <w:r w:rsidRPr="00EC7C33">
        <w:t xml:space="preserve">ction 57(5) of the </w:t>
      </w:r>
      <w:hyperlink r:id="rId474" w:history="1">
        <w:r w:rsidRPr="00EC7C33">
          <w:rPr>
            <w:rStyle w:val="Hyperlink"/>
          </w:rPr>
          <w:t>LA</w:t>
        </w:r>
      </w:hyperlink>
      <w:r w:rsidRPr="00EC7C33">
        <w:t>; o</w:t>
      </w:r>
      <w:r w:rsidRPr="00FD274F">
        <w:t>r</w:t>
      </w:r>
    </w:p>
    <w:p w14:paraId="31320D69" w14:textId="77777777" w:rsidR="00E86304" w:rsidRPr="00FD274F" w:rsidRDefault="00E86304" w:rsidP="00E86304">
      <w:pPr>
        <w:pStyle w:val="BodyPara"/>
      </w:pPr>
      <w:r w:rsidRPr="00FD274F">
        <w:t>require things to be done before, or at the same time as, a legislative instrument is tabled (e.g. to prepare a report and table it with an instrument).</w:t>
      </w:r>
    </w:p>
    <w:p w14:paraId="6839331C" w14:textId="77777777" w:rsidR="00E86304" w:rsidRPr="00FD274F" w:rsidRDefault="00E86304" w:rsidP="00E86304">
      <w:pPr>
        <w:pStyle w:val="Head4"/>
      </w:pPr>
      <w:r w:rsidRPr="00FD274F">
        <w:t>What instruments are exempt from disallowance</w:t>
      </w:r>
    </w:p>
    <w:p w14:paraId="756A9B53" w14:textId="77777777" w:rsidR="00E86304" w:rsidRPr="00FD274F" w:rsidRDefault="00E86304" w:rsidP="00E86304">
      <w:pPr>
        <w:pStyle w:val="BodyNum"/>
      </w:pPr>
      <w:r w:rsidRPr="00FD274F">
        <w:t>When an instrument is lodged for registration, the lodging agency is asked to certify a range of information</w:t>
      </w:r>
      <w:r>
        <w:t>,</w:t>
      </w:r>
      <w:r w:rsidRPr="00FD274F">
        <w:t xml:space="preserve"> including whether an exemption from disallowance applies and, if so, what legisl</w:t>
      </w:r>
      <w:r>
        <w:t>ation authorises the exemption.</w:t>
      </w:r>
    </w:p>
    <w:p w14:paraId="15D5BD69" w14:textId="77777777" w:rsidR="00E86304" w:rsidRPr="00FD274F" w:rsidRDefault="00E86304" w:rsidP="00E86304">
      <w:pPr>
        <w:pStyle w:val="BodyNum"/>
      </w:pPr>
      <w:r w:rsidRPr="00FD274F">
        <w:t>Most exemptions are straightforward and nominate a specific enabling provision such as instruments made unde</w:t>
      </w:r>
      <w:r w:rsidRPr="007809FB">
        <w:t xml:space="preserve">r section 123 of the </w:t>
      </w:r>
      <w:r>
        <w:rPr>
          <w:i/>
        </w:rPr>
        <w:t>Example</w:t>
      </w:r>
      <w:r w:rsidRPr="007809FB">
        <w:rPr>
          <w:i/>
        </w:rPr>
        <w:t xml:space="preserve"> Act 20</w:t>
      </w:r>
      <w:r>
        <w:rPr>
          <w:i/>
        </w:rPr>
        <w:t>24</w:t>
      </w:r>
      <w:r w:rsidRPr="007809FB">
        <w:t>. H</w:t>
      </w:r>
      <w:r w:rsidRPr="00FD274F">
        <w:t>owever, other exemptions are more generic and some can be difficult to apply, particularly if they refer t</w:t>
      </w:r>
      <w:r>
        <w:t>o the purpose of an instrument.</w:t>
      </w:r>
    </w:p>
    <w:p w14:paraId="43D01B2B" w14:textId="77777777" w:rsidR="00E86304" w:rsidRPr="00FD274F" w:rsidRDefault="00E86304" w:rsidP="00E86304">
      <w:pPr>
        <w:pStyle w:val="BodyNum"/>
      </w:pPr>
      <w:r w:rsidRPr="00FD274F">
        <w:t>If there is any doubt about whether an instrument is exempt, the rule</w:t>
      </w:r>
      <w:r>
        <w:noBreakHyphen/>
      </w:r>
      <w:r w:rsidRPr="00FD274F">
        <w:t>making agency should get legal advice and consider the potential risks to government policy if an instrument is listed as not subject to disallowance. There could be significant consequences if, for example, an agency claims an instrument is exempt but</w:t>
      </w:r>
      <w:r>
        <w:t xml:space="preserve"> the Parliament does not agree.</w:t>
      </w:r>
    </w:p>
    <w:p w14:paraId="21AF190A" w14:textId="77777777" w:rsidR="00E86304" w:rsidRPr="00FD274F" w:rsidRDefault="00E86304" w:rsidP="00E86304">
      <w:pPr>
        <w:pStyle w:val="BodyNum"/>
      </w:pPr>
      <w:r w:rsidRPr="00FD274F">
        <w:t xml:space="preserve">If a new exemption may be appropriate </w:t>
      </w:r>
      <w:r>
        <w:t>(</w:t>
      </w:r>
      <w:r w:rsidRPr="00FD274F">
        <w:t>for example, because a new class of instrument is being created</w:t>
      </w:r>
      <w:r>
        <w:t>)</w:t>
      </w:r>
      <w:r w:rsidRPr="00FD274F">
        <w:t xml:space="preserve">, the proposal should be discussed in the first instance with AGD </w:t>
      </w:r>
      <w:r w:rsidRPr="00F409B4">
        <w:t>(</w:t>
      </w:r>
      <w:r>
        <w:t xml:space="preserve">email </w:t>
      </w:r>
      <w:hyperlink r:id="rId475" w:history="1">
        <w:r w:rsidRPr="00C24A30">
          <w:rPr>
            <w:rStyle w:val="Hyperlink"/>
          </w:rPr>
          <w:t>adminlaw@ag.gov.au</w:t>
        </w:r>
      </w:hyperlink>
      <w:r w:rsidRPr="00FD274F">
        <w:rPr>
          <w:rStyle w:val="Hyperlink"/>
        </w:rPr>
        <w:t xml:space="preserve"> </w:t>
      </w:r>
      <w:r w:rsidRPr="00FD274F">
        <w:t xml:space="preserve">or </w:t>
      </w:r>
      <w:r>
        <w:t xml:space="preserve">call the AGD Switchboard on </w:t>
      </w:r>
      <w:r w:rsidRPr="00E277CA">
        <w:t>(02) 6141 6666</w:t>
      </w:r>
      <w:r>
        <w:t xml:space="preserve"> and ask to be redirected to the Administrative Law Section</w:t>
      </w:r>
      <w:r w:rsidRPr="00F409B4">
        <w:t>)</w:t>
      </w:r>
      <w:r w:rsidRPr="00FD274F">
        <w:t>. The formal policy approval of the responsible Minister and the Attorney</w:t>
      </w:r>
      <w:r>
        <w:noBreakHyphen/>
      </w:r>
      <w:r w:rsidRPr="00FD274F">
        <w:t>General is required for new exemptions.</w:t>
      </w:r>
    </w:p>
    <w:p w14:paraId="556054FF" w14:textId="77777777" w:rsidR="00E86304" w:rsidRPr="00FD274F" w:rsidRDefault="00E86304" w:rsidP="00E86304">
      <w:pPr>
        <w:pStyle w:val="Head4"/>
      </w:pPr>
      <w:r w:rsidRPr="00FD274F">
        <w:lastRenderedPageBreak/>
        <w:t>When instruments are open to disallowance</w:t>
      </w:r>
    </w:p>
    <w:p w14:paraId="6BA99599" w14:textId="77777777" w:rsidR="00E86304" w:rsidRPr="00FD274F" w:rsidRDefault="00E86304" w:rsidP="00E86304">
      <w:pPr>
        <w:pStyle w:val="BodyNum"/>
      </w:pPr>
      <w:r w:rsidRPr="00FD274F">
        <w:t xml:space="preserve">Unless exempt from disallowance or subject to a special disallowance regime, legislative instruments are open to disallowance in whole or in part for </w:t>
      </w:r>
      <w:r>
        <w:t xml:space="preserve">at least </w:t>
      </w:r>
      <w:r w:rsidRPr="00FD274F">
        <w:t>15 sitting days. This timeframe needs to be calcu</w:t>
      </w:r>
      <w:r>
        <w:t>lated separately for each House</w:t>
      </w:r>
      <w:r w:rsidRPr="00FD274F">
        <w:t xml:space="preserve"> from the first sitting day after th</w:t>
      </w:r>
      <w:r>
        <w:t>e day the instrument is tabled.</w:t>
      </w:r>
    </w:p>
    <w:p w14:paraId="63DCFC0D" w14:textId="77777777" w:rsidR="00E86304" w:rsidRDefault="00E86304" w:rsidP="00E86304">
      <w:pPr>
        <w:pStyle w:val="BodyNum"/>
      </w:pPr>
      <w:r w:rsidRPr="00FD274F">
        <w:t>If an election is called, the disallowance “clock” for each House generally stops and then resumes once the House starts sitting again. However, the clock must be re</w:t>
      </w:r>
      <w:r>
        <w:noBreakHyphen/>
      </w:r>
      <w:r w:rsidRPr="00FD274F">
        <w:t>started if notice of motion to disallow an instrument has been given but not resolved. An affected instrument is again open to disallowance for the full disallowance period of 15 sitting days once sittings res</w:t>
      </w:r>
      <w:r w:rsidRPr="00EC7C33">
        <w:t>ume (</w:t>
      </w:r>
      <w:hyperlink r:id="rId476" w:history="1">
        <w:hyperlink r:id="rId477" w:history="1">
          <w:hyperlink r:id="rId478" w:history="1">
            <w:hyperlink r:id="rId479" w:history="1">
              <w:r w:rsidRPr="00EC7C33">
                <w:rPr>
                  <w:rStyle w:val="Hyperlink"/>
                </w:rPr>
                <w:t>LA</w:t>
              </w:r>
            </w:hyperlink>
            <w:r w:rsidRPr="00EC7C33">
              <w:rPr>
                <w:rStyle w:val="Hyperlink"/>
              </w:rPr>
              <w:t xml:space="preserve"> </w:t>
            </w:r>
          </w:hyperlink>
        </w:hyperlink>
      </w:hyperlink>
      <w:r w:rsidRPr="00EC7C33">
        <w:t>s 42(3)).</w:t>
      </w:r>
    </w:p>
    <w:p w14:paraId="2FBE6719" w14:textId="77777777" w:rsidR="00E86304" w:rsidRPr="00FD274F" w:rsidRDefault="00E86304" w:rsidP="00E86304">
      <w:pPr>
        <w:pStyle w:val="BodyNum"/>
      </w:pPr>
      <w:r>
        <w:t>If a disallowable legislative instrument is rectified, the instrument must be re</w:t>
      </w:r>
      <w:r>
        <w:noBreakHyphen/>
        <w:t xml:space="preserve">tabled, which may extend an existing, or start a new, disallowance period </w:t>
      </w:r>
      <w:r w:rsidRPr="00FD274F">
        <w:t>(</w:t>
      </w:r>
      <w:r>
        <w:t>see p</w:t>
      </w:r>
      <w:r w:rsidRPr="007809FB">
        <w:t xml:space="preserve">aragraphs </w:t>
      </w:r>
      <w:r w:rsidRPr="007809FB">
        <w:fldChar w:fldCharType="begin"/>
      </w:r>
      <w:r w:rsidRPr="007809FB">
        <w:instrText xml:space="preserve"> REF _Ref2948989 \r \h </w:instrText>
      </w:r>
      <w:r>
        <w:rPr>
          <w:highlight w:val="yellow"/>
        </w:rPr>
        <w:instrText xml:space="preserve"> \* MERGEFORMAT </w:instrText>
      </w:r>
      <w:r w:rsidRPr="007809FB">
        <w:fldChar w:fldCharType="separate"/>
      </w:r>
      <w:r>
        <w:t>191</w:t>
      </w:r>
      <w:r w:rsidRPr="007809FB">
        <w:fldChar w:fldCharType="end"/>
      </w:r>
      <w:r w:rsidRPr="007809FB">
        <w:t xml:space="preserve"> to </w:t>
      </w:r>
      <w:r w:rsidRPr="007809FB">
        <w:fldChar w:fldCharType="begin"/>
      </w:r>
      <w:r w:rsidRPr="007809FB">
        <w:instrText xml:space="preserve"> REF _Ref2949476 \r \h </w:instrText>
      </w:r>
      <w:r>
        <w:rPr>
          <w:highlight w:val="yellow"/>
        </w:rPr>
        <w:instrText xml:space="preserve"> \* MERGEFORMAT </w:instrText>
      </w:r>
      <w:r w:rsidRPr="007809FB">
        <w:fldChar w:fldCharType="separate"/>
      </w:r>
      <w:r>
        <w:t>193</w:t>
      </w:r>
      <w:r w:rsidRPr="007809FB">
        <w:fldChar w:fldCharType="end"/>
      </w:r>
      <w:r>
        <w:t xml:space="preserve"> an</w:t>
      </w:r>
      <w:r w:rsidRPr="00DF0780">
        <w:t xml:space="preserve">d </w:t>
      </w:r>
      <w:hyperlink r:id="rId480" w:history="1">
        <w:hyperlink r:id="rId481" w:history="1">
          <w:hyperlink r:id="rId482" w:history="1">
            <w:hyperlink r:id="rId483" w:history="1">
              <w:r w:rsidRPr="00DF0780">
                <w:rPr>
                  <w:rStyle w:val="Hyperlink"/>
                </w:rPr>
                <w:t>LA</w:t>
              </w:r>
            </w:hyperlink>
            <w:r w:rsidRPr="00DF0780">
              <w:rPr>
                <w:rStyle w:val="Hyperlink"/>
              </w:rPr>
              <w:t xml:space="preserve"> </w:t>
            </w:r>
          </w:hyperlink>
        </w:hyperlink>
      </w:hyperlink>
      <w:r w:rsidRPr="00DF0780">
        <w:t>s 15DA)</w:t>
      </w:r>
      <w:r>
        <w:t>.</w:t>
      </w:r>
    </w:p>
    <w:p w14:paraId="368604E5" w14:textId="77777777" w:rsidR="00E86304" w:rsidRPr="00FD274F" w:rsidRDefault="00E86304" w:rsidP="00E86304">
      <w:pPr>
        <w:pStyle w:val="Head4"/>
      </w:pPr>
      <w:r w:rsidRPr="00FD274F">
        <w:t>How notice of motion to disallow may be resolved</w:t>
      </w:r>
    </w:p>
    <w:p w14:paraId="4E76A4B9" w14:textId="77777777" w:rsidR="00E86304" w:rsidRPr="00FD274F" w:rsidRDefault="00E86304" w:rsidP="00E86304">
      <w:pPr>
        <w:pStyle w:val="BodyNum"/>
      </w:pPr>
      <w:r w:rsidRPr="00FD274F">
        <w:t>If a Senator or Member gives notice of motion to disallow an instrument, or a provision of an instrument, the standing orders of both Houses do not allow the motion to be moved on the same day. However, if a matter is controversial, a House may grant leave or suspend standing orders so that the motion is moved, debated and voted on immediately.</w:t>
      </w:r>
    </w:p>
    <w:p w14:paraId="389A3DC0" w14:textId="77777777" w:rsidR="00E86304" w:rsidRPr="00FD274F" w:rsidRDefault="00E86304" w:rsidP="00E86304">
      <w:pPr>
        <w:pStyle w:val="BodyNum"/>
      </w:pPr>
      <w:r w:rsidRPr="00FD274F">
        <w:t>A notice of motion may be withdrawn. Once the motion is moved, it may be withdrawn or put to a vote by the House on the day specified in the motion. In the Senate, standing orders require the Senator who initiated the motion to give notice of intention to withdraw it, and permit another Senator to take over the motion even if the initial period for giving notice has elapsed. The House of Representatives does not have a similar procedure.</w:t>
      </w:r>
    </w:p>
    <w:p w14:paraId="103FC1D9" w14:textId="77777777" w:rsidR="00E86304" w:rsidRPr="00DF0780" w:rsidRDefault="00E86304" w:rsidP="00E86304">
      <w:pPr>
        <w:pStyle w:val="BodyNum"/>
      </w:pPr>
      <w:r w:rsidRPr="00FD274F">
        <w:t xml:space="preserve">If a disallowance motion is not withdrawn, put to a vote or otherwise disposed of within 15 sitting days after the sitting day that the notice of motion is given, the relevant instrument or provision is taken to have been disallowed at the end of that period </w:t>
      </w:r>
      <w:r w:rsidRPr="00DF0780">
        <w:t>(</w:t>
      </w:r>
      <w:hyperlink r:id="rId484" w:history="1">
        <w:hyperlink r:id="rId485" w:history="1">
          <w:hyperlink r:id="rId486" w:history="1">
            <w:r w:rsidRPr="00DF0780">
              <w:rPr>
                <w:rStyle w:val="Hyperlink"/>
              </w:rPr>
              <w:t>LA</w:t>
            </w:r>
          </w:hyperlink>
        </w:hyperlink>
      </w:hyperlink>
      <w:r w:rsidRPr="00DF0780">
        <w:rPr>
          <w:rStyle w:val="Hyperlink"/>
        </w:rPr>
        <w:t xml:space="preserve"> </w:t>
      </w:r>
      <w:r w:rsidRPr="00DF0780">
        <w:t>s 42(2)).</w:t>
      </w:r>
    </w:p>
    <w:p w14:paraId="78FC662A" w14:textId="77777777" w:rsidR="00E86304" w:rsidRPr="00FD274F" w:rsidRDefault="00E86304" w:rsidP="00E86304">
      <w:pPr>
        <w:pStyle w:val="Head4"/>
      </w:pPr>
      <w:r w:rsidRPr="00FD274F">
        <w:t>If notice of motion to disallow has been given</w:t>
      </w:r>
    </w:p>
    <w:p w14:paraId="05E84C47" w14:textId="77777777" w:rsidR="00E86304" w:rsidRDefault="00E86304" w:rsidP="00E86304">
      <w:pPr>
        <w:pStyle w:val="BodyNum"/>
      </w:pPr>
      <w:bookmarkStart w:id="174" w:name="_Ref422756800"/>
      <w:proofErr w:type="spellStart"/>
      <w:r w:rsidRPr="00FD274F">
        <w:t>OPC</w:t>
      </w:r>
      <w:proofErr w:type="spellEnd"/>
      <w:r w:rsidRPr="00FD274F">
        <w:t xml:space="preserve"> monitors parliamentary proceedings and, if notice of motion to disallow is given, will update the Register and alert the lodging agency as necessary. </w:t>
      </w:r>
      <w:r>
        <w:t>Agencies can also track the progress of disallowance motions via the SDLC’s Disallowance Al</w:t>
      </w:r>
      <w:r w:rsidRPr="00DF0780">
        <w:t>ert</w:t>
      </w:r>
      <w:r w:rsidRPr="00DF0780">
        <w:rPr>
          <w:rStyle w:val="FootnoteReference"/>
        </w:rPr>
        <w:footnoteReference w:id="39"/>
      </w:r>
      <w:r w:rsidRPr="00DF0780">
        <w:t>. I</w:t>
      </w:r>
      <w:r w:rsidRPr="00FD274F">
        <w:t>t is important to take such matters seriously.</w:t>
      </w:r>
    </w:p>
    <w:p w14:paraId="3BC2EC60" w14:textId="77777777" w:rsidR="00E86304" w:rsidRPr="00FD274F" w:rsidRDefault="00E86304" w:rsidP="00E86304">
      <w:pPr>
        <w:pStyle w:val="BodyNum"/>
        <w:keepNext/>
      </w:pPr>
      <w:r w:rsidRPr="00FD274F">
        <w:t>Consequently, if a House has not yet voted on a disallowance motion, the responsible Minister should be briefed quickly on the issues and options. It may be possible for the responsible Minister to resolve the situation</w:t>
      </w:r>
      <w:r>
        <w:t xml:space="preserve"> </w:t>
      </w:r>
      <w:r w:rsidRPr="00FD274F">
        <w:t>by:</w:t>
      </w:r>
    </w:p>
    <w:p w14:paraId="3FF2FBA3" w14:textId="77777777" w:rsidR="00E86304" w:rsidRPr="00FD274F" w:rsidRDefault="00E86304" w:rsidP="00E86304">
      <w:pPr>
        <w:pStyle w:val="BodyPara"/>
      </w:pPr>
      <w:r w:rsidRPr="00FD274F">
        <w:t>responding with and, if appropriate, tabling additional information such as a replacement or supplementary explanatory statemen</w:t>
      </w:r>
      <w:r w:rsidRPr="00F431F8">
        <w:t xml:space="preserve">t (see paragraph </w:t>
      </w:r>
      <w:r w:rsidRPr="00DF0780">
        <w:fldChar w:fldCharType="begin"/>
      </w:r>
      <w:r w:rsidRPr="00F431F8">
        <w:instrText xml:space="preserve"> REF _Ref384719737 \r \h </w:instrText>
      </w:r>
      <w:r>
        <w:rPr>
          <w:highlight w:val="yellow"/>
        </w:rPr>
        <w:instrText xml:space="preserve"> \* MERGEFORMAT </w:instrText>
      </w:r>
      <w:r w:rsidRPr="00DF0780">
        <w:fldChar w:fldCharType="separate"/>
      </w:r>
      <w:r>
        <w:t>284</w:t>
      </w:r>
      <w:r w:rsidRPr="00DF0780">
        <w:fldChar w:fldCharType="end"/>
      </w:r>
      <w:r w:rsidRPr="00F431F8">
        <w:t>);</w:t>
      </w:r>
      <w:r>
        <w:t xml:space="preserve"> or</w:t>
      </w:r>
    </w:p>
    <w:p w14:paraId="67AC711B" w14:textId="77777777" w:rsidR="00E86304" w:rsidRPr="00FD274F" w:rsidRDefault="00E86304" w:rsidP="00E86304">
      <w:pPr>
        <w:pStyle w:val="BodyPara"/>
      </w:pPr>
      <w:r w:rsidRPr="00FD274F">
        <w:lastRenderedPageBreak/>
        <w:t>giving an undertaking to review or change how an instrument operates, or to change drafting, consultation or other practices.</w:t>
      </w:r>
    </w:p>
    <w:p w14:paraId="5D7C114B" w14:textId="77777777" w:rsidR="00E86304" w:rsidRPr="00FD274F" w:rsidRDefault="00E86304" w:rsidP="00E86304">
      <w:pPr>
        <w:pStyle w:val="BodyNum"/>
      </w:pPr>
      <w:r>
        <w:t>I</w:t>
      </w:r>
      <w:r w:rsidRPr="00FD274F">
        <w:t>f an undertaking is given, agencies should ensure that it is implemented and provide feedback to this effect through, for example, subsequent explanatory statements if relevant. Prompt action should be taken because scrutiny bodies often include details of both new and outstanding undertakings in their peri</w:t>
      </w:r>
      <w:r>
        <w:t>odic reports to the Parliament.</w:t>
      </w:r>
    </w:p>
    <w:p w14:paraId="7BB04714" w14:textId="77777777" w:rsidR="00E86304" w:rsidRPr="00FD274F" w:rsidRDefault="00E86304" w:rsidP="00E86304">
      <w:pPr>
        <w:pStyle w:val="BodyNum"/>
      </w:pPr>
      <w:r w:rsidRPr="00FD274F">
        <w:t>Agencies should also prepare for the possibility of disallowance</w:t>
      </w:r>
      <w:r>
        <w:t>,</w:t>
      </w:r>
      <w:r w:rsidRPr="00FD274F">
        <w:t xml:space="preserve"> as swift action may be required. For example, it may be necessary to do some or all of the following:</w:t>
      </w:r>
    </w:p>
    <w:p w14:paraId="34A3CC7E" w14:textId="77777777" w:rsidR="00E86304" w:rsidRPr="00FD274F" w:rsidRDefault="00E86304" w:rsidP="00E86304">
      <w:pPr>
        <w:pStyle w:val="BodyPara"/>
      </w:pPr>
      <w:r w:rsidRPr="00FD274F">
        <w:t>notify people who rely on the instrument for authority to act (particularly if it is a matter that could go to court or involves public money);</w:t>
      </w:r>
    </w:p>
    <w:p w14:paraId="0AE8CBED" w14:textId="77777777" w:rsidR="00E86304" w:rsidRPr="00FD274F" w:rsidRDefault="00E86304" w:rsidP="00E86304">
      <w:pPr>
        <w:pStyle w:val="BodyPara"/>
      </w:pPr>
      <w:r w:rsidRPr="00FD274F">
        <w:t>get legal advice on other legislation that may be revived or amended as a result of the disallowance;</w:t>
      </w:r>
    </w:p>
    <w:p w14:paraId="1FE407E2" w14:textId="77777777" w:rsidR="00E86304" w:rsidRPr="00FD274F" w:rsidRDefault="00E86304" w:rsidP="00E86304">
      <w:pPr>
        <w:pStyle w:val="BodyPara"/>
      </w:pPr>
      <w:r w:rsidRPr="00FD274F">
        <w:t xml:space="preserve">prepare one or more compilations to reflect the revised text of the instrument and any other affected legislation </w:t>
      </w:r>
      <w:r w:rsidRPr="00F431F8">
        <w:t xml:space="preserve">(see </w:t>
      </w:r>
      <w:r>
        <w:t>the Compilations Handbook</w:t>
      </w:r>
      <w:r w:rsidRPr="00F431F8">
        <w:t>).</w:t>
      </w:r>
    </w:p>
    <w:p w14:paraId="0A0F3934" w14:textId="77777777" w:rsidR="00E86304" w:rsidRPr="00FD274F" w:rsidRDefault="00E86304" w:rsidP="00E86304">
      <w:pPr>
        <w:pStyle w:val="Head4"/>
      </w:pPr>
      <w:r w:rsidRPr="00FD274F">
        <w:t xml:space="preserve">If notice of motion to disallow has </w:t>
      </w:r>
      <w:r>
        <w:t>passed</w:t>
      </w:r>
    </w:p>
    <w:p w14:paraId="05123A0A" w14:textId="77777777" w:rsidR="00E86304" w:rsidRPr="00FD274F" w:rsidRDefault="00E86304" w:rsidP="00E86304">
      <w:pPr>
        <w:pStyle w:val="BodyNum"/>
      </w:pPr>
      <w:r w:rsidRPr="00FD274F">
        <w:t>If a notice of motion is passed, or taken to have passed, the effect of disallowance is:</w:t>
      </w:r>
      <w:bookmarkEnd w:id="174"/>
    </w:p>
    <w:p w14:paraId="27494350" w14:textId="77777777" w:rsidR="00E86304" w:rsidRPr="00715EC3" w:rsidRDefault="00E86304" w:rsidP="00E86304">
      <w:pPr>
        <w:pStyle w:val="BodyPara"/>
      </w:pPr>
      <w:r w:rsidRPr="00FD274F">
        <w:t xml:space="preserve">to repeal the instrument or provision immediately, that is, from the day and time of disallowance </w:t>
      </w:r>
      <w:r w:rsidRPr="00DF0780">
        <w:t>(</w:t>
      </w:r>
      <w:hyperlink r:id="rId487" w:history="1">
        <w:hyperlink r:id="rId488" w:history="1">
          <w:hyperlink r:id="rId489" w:history="1">
            <w:hyperlink r:id="rId490" w:history="1">
              <w:r w:rsidRPr="00DF0780">
                <w:rPr>
                  <w:rStyle w:val="Hyperlink"/>
                </w:rPr>
                <w:t>LA</w:t>
              </w:r>
            </w:hyperlink>
            <w:r w:rsidRPr="00DF0780">
              <w:rPr>
                <w:rStyle w:val="Hyperlink"/>
              </w:rPr>
              <w:t xml:space="preserve"> </w:t>
            </w:r>
          </w:hyperlink>
        </w:hyperlink>
      </w:hyperlink>
      <w:r w:rsidRPr="00DF0780">
        <w:t>s 42(1) and (2)); an</w:t>
      </w:r>
      <w:r>
        <w:t>d</w:t>
      </w:r>
    </w:p>
    <w:p w14:paraId="40A817F3" w14:textId="77777777" w:rsidR="00E86304" w:rsidRDefault="00E86304" w:rsidP="00E86304">
      <w:pPr>
        <w:pStyle w:val="BodyPara"/>
      </w:pPr>
      <w:r w:rsidRPr="00FD274F">
        <w:t xml:space="preserve">to revive any instrument, law or provision repealed by the instrument or provision unless the repealed instrument or provision had </w:t>
      </w:r>
      <w:proofErr w:type="spellStart"/>
      <w:r w:rsidRPr="00FD274F">
        <w:t>sunsetted</w:t>
      </w:r>
      <w:proofErr w:type="spellEnd"/>
      <w:r w:rsidRPr="00FD274F">
        <w:t xml:space="preserve"> under </w:t>
      </w:r>
      <w:r w:rsidRPr="00DF0780">
        <w:t xml:space="preserve">Part 4 of Chapter 3 of the </w:t>
      </w:r>
      <w:hyperlink r:id="rId491" w:history="1">
        <w:hyperlink r:id="rId492" w:history="1">
          <w:hyperlink r:id="rId493" w:history="1">
            <w:hyperlink r:id="rId494" w:history="1">
              <w:r w:rsidRPr="00DF0780">
                <w:rPr>
                  <w:rStyle w:val="Hyperlink"/>
                </w:rPr>
                <w:t>LA</w:t>
              </w:r>
            </w:hyperlink>
            <w:r w:rsidRPr="00DF0780">
              <w:rPr>
                <w:rStyle w:val="Hyperlink"/>
              </w:rPr>
              <w:t xml:space="preserve"> </w:t>
            </w:r>
          </w:hyperlink>
        </w:hyperlink>
      </w:hyperlink>
      <w:r w:rsidRPr="00DF0780">
        <w:t>(s 45(2) and (3)); and</w:t>
      </w:r>
    </w:p>
    <w:p w14:paraId="0BAB8E7C" w14:textId="77777777" w:rsidR="00E86304" w:rsidRPr="00715EC3" w:rsidRDefault="00E86304" w:rsidP="00E86304">
      <w:pPr>
        <w:pStyle w:val="BodyPara"/>
      </w:pPr>
      <w:r>
        <w:t xml:space="preserve">to undo the effects of a disallowed amending instrument or provision </w:t>
      </w:r>
      <w:r w:rsidRPr="00FD274F">
        <w:t>immediately, that is, from the day and time of disallowance</w:t>
      </w:r>
      <w:r>
        <w:t>. This will also require a compilation to be prepared to show the effect of the disallowance (</w:t>
      </w:r>
      <w:hyperlink r:id="rId495" w:history="1">
        <w:r w:rsidRPr="00DF0780">
          <w:rPr>
            <w:rStyle w:val="Hyperlink"/>
          </w:rPr>
          <w:t>LA</w:t>
        </w:r>
      </w:hyperlink>
      <w:r>
        <w:rPr>
          <w:rStyle w:val="Hyperlink"/>
        </w:rPr>
        <w:t xml:space="preserve"> </w:t>
      </w:r>
      <w:r w:rsidRPr="00DF0780">
        <w:t>s </w:t>
      </w:r>
      <w:r>
        <w:t>15Q</w:t>
      </w:r>
      <w:r w:rsidRPr="00DF0780">
        <w:t>(1)</w:t>
      </w:r>
      <w:r>
        <w:t>(b)); and</w:t>
      </w:r>
    </w:p>
    <w:p w14:paraId="4F85F048" w14:textId="77777777" w:rsidR="00E86304" w:rsidRPr="00FD274F" w:rsidRDefault="00E86304" w:rsidP="00E86304">
      <w:pPr>
        <w:pStyle w:val="BodyPara"/>
      </w:pPr>
      <w:r w:rsidRPr="00FD274F">
        <w:t>to extend the restrictions on remaking the disallowed instrument or provision for 6 months after the day of disallowanc</w:t>
      </w:r>
      <w:r w:rsidRPr="00DF0780">
        <w:t>e (</w:t>
      </w:r>
      <w:hyperlink r:id="rId496" w:history="1">
        <w:hyperlink r:id="rId497" w:history="1">
          <w:hyperlink r:id="rId498" w:history="1">
            <w:hyperlink r:id="rId499" w:history="1">
              <w:r w:rsidRPr="00DF0780">
                <w:rPr>
                  <w:rStyle w:val="Hyperlink"/>
                </w:rPr>
                <w:t>LA</w:t>
              </w:r>
            </w:hyperlink>
            <w:r w:rsidRPr="00DF0780">
              <w:rPr>
                <w:rStyle w:val="Hyperlink"/>
              </w:rPr>
              <w:t xml:space="preserve"> </w:t>
            </w:r>
          </w:hyperlink>
        </w:hyperlink>
      </w:hyperlink>
      <w:r w:rsidRPr="00DF0780">
        <w:t>s 48).</w:t>
      </w:r>
    </w:p>
    <w:p w14:paraId="605FCDB3" w14:textId="77777777" w:rsidR="00E86304" w:rsidRPr="00FD274F" w:rsidRDefault="00E86304" w:rsidP="00E86304">
      <w:pPr>
        <w:pStyle w:val="Head3"/>
      </w:pPr>
      <w:bookmarkStart w:id="175" w:name="_Toc238117578"/>
      <w:r w:rsidRPr="00FD274F">
        <w:t>Restrictions on remaking instruments before and after tabling</w:t>
      </w:r>
      <w:bookmarkEnd w:id="175"/>
    </w:p>
    <w:p w14:paraId="56633A2C" w14:textId="77777777" w:rsidR="00E86304" w:rsidRPr="00FD274F" w:rsidRDefault="00E86304" w:rsidP="00E86304">
      <w:pPr>
        <w:pStyle w:val="BodyNum"/>
      </w:pPr>
      <w:bookmarkStart w:id="176" w:name="_Ref383697445"/>
      <w:r w:rsidRPr="00FD274F">
        <w:t>Sometimes problems are identified with the text of an instrument soon after it has been lodged for registration. If so, the instrument may be amended or repealed, but a second instrument that is the same in substance as the first instrument cannot be made before the first instrument is tabled, and for a period after its tabling, without the Parliament’s approval.</w:t>
      </w:r>
      <w:bookmarkEnd w:id="176"/>
    </w:p>
    <w:p w14:paraId="37BB8446" w14:textId="77777777" w:rsidR="00E86304" w:rsidRPr="00FD274F" w:rsidRDefault="00E86304" w:rsidP="00E86304">
      <w:pPr>
        <w:pStyle w:val="BodyNum"/>
      </w:pPr>
      <w:r w:rsidRPr="00FD274F">
        <w:t xml:space="preserve">Irrespective of whether a legislative instrument is disallowable, once it has been registered a second instrument that is the same in substance as the first instrument cannot be made </w:t>
      </w:r>
      <w:bookmarkStart w:id="177" w:name="_Ref367446655"/>
      <w:r w:rsidRPr="00FD274F">
        <w:t xml:space="preserve">for a period of 7 calendar days from the following </w:t>
      </w:r>
      <w:r w:rsidRPr="00DF0780">
        <w:t>(</w:t>
      </w:r>
      <w:hyperlink r:id="rId500" w:history="1">
        <w:hyperlink r:id="rId501" w:history="1">
          <w:hyperlink r:id="rId502" w:history="1">
            <w:hyperlink r:id="rId503" w:history="1">
              <w:r w:rsidRPr="00DF0780">
                <w:rPr>
                  <w:rStyle w:val="Hyperlink"/>
                </w:rPr>
                <w:t>LA</w:t>
              </w:r>
            </w:hyperlink>
            <w:r w:rsidRPr="00DF0780">
              <w:rPr>
                <w:rStyle w:val="Hyperlink"/>
              </w:rPr>
              <w:t xml:space="preserve"> </w:t>
            </w:r>
          </w:hyperlink>
        </w:hyperlink>
      </w:hyperlink>
      <w:r w:rsidRPr="00DF0780">
        <w:t>s 46)</w:t>
      </w:r>
      <w:r w:rsidRPr="00FD274F">
        <w:t>:</w:t>
      </w:r>
      <w:bookmarkEnd w:id="177"/>
    </w:p>
    <w:p w14:paraId="2FCE468D" w14:textId="77777777" w:rsidR="00E86304" w:rsidRPr="00FD274F" w:rsidRDefault="00E86304" w:rsidP="00E86304">
      <w:pPr>
        <w:pStyle w:val="BodyPara"/>
      </w:pPr>
      <w:r w:rsidRPr="00FD274F">
        <w:lastRenderedPageBreak/>
        <w:t>if it was tabled on the same day in both Houses—the day of tabling;</w:t>
      </w:r>
    </w:p>
    <w:p w14:paraId="17754FE3" w14:textId="77777777" w:rsidR="00E86304" w:rsidRPr="00FD274F" w:rsidRDefault="00E86304" w:rsidP="00E86304">
      <w:pPr>
        <w:pStyle w:val="BodyPara"/>
      </w:pPr>
      <w:r w:rsidRPr="00FD274F">
        <w:t xml:space="preserve">if it was tabled on different days in both </w:t>
      </w:r>
      <w:r>
        <w:t>Houses—the later of those days;</w:t>
      </w:r>
    </w:p>
    <w:p w14:paraId="0A8687F1" w14:textId="77777777" w:rsidR="00E86304" w:rsidRPr="00FD274F" w:rsidRDefault="00E86304" w:rsidP="00E86304">
      <w:pPr>
        <w:pStyle w:val="BodyPara"/>
      </w:pPr>
      <w:r w:rsidRPr="00FD274F">
        <w:t xml:space="preserve">if it was not tabled in both Houses—the last day when the instrument could have been tabled under </w:t>
      </w:r>
      <w:r w:rsidRPr="00DF0780">
        <w:t xml:space="preserve">section 38 of the </w:t>
      </w:r>
      <w:hyperlink r:id="rId504" w:history="1">
        <w:hyperlink r:id="rId505" w:history="1">
          <w:hyperlink r:id="rId506" w:history="1">
            <w:r w:rsidRPr="00DF0780">
              <w:rPr>
                <w:rStyle w:val="Hyperlink"/>
              </w:rPr>
              <w:t>LA</w:t>
            </w:r>
          </w:hyperlink>
        </w:hyperlink>
      </w:hyperlink>
      <w:r w:rsidRPr="00DF0780">
        <w:rPr>
          <w:rStyle w:val="Hyperlink"/>
        </w:rPr>
        <w:t>.</w:t>
      </w:r>
    </w:p>
    <w:p w14:paraId="6619DF2C" w14:textId="77777777" w:rsidR="00E86304" w:rsidRPr="00FD274F" w:rsidRDefault="00E86304" w:rsidP="00E86304">
      <w:pPr>
        <w:pStyle w:val="BodyNum"/>
        <w:keepLines/>
      </w:pPr>
      <w:r w:rsidRPr="00FD274F">
        <w:t>If a legislative instrument is disallowable, longer timeframes may apply. If notice of a motion to disallow is given, an instrument, or a provision of the instrument, that is the same in substance as the original instrument or provision cannot be made while the original instrument or provision can be disallowe</w:t>
      </w:r>
      <w:r w:rsidRPr="00DF0780">
        <w:t>d (</w:t>
      </w:r>
      <w:hyperlink r:id="rId507" w:history="1">
        <w:hyperlink r:id="rId508" w:history="1">
          <w:hyperlink r:id="rId509" w:history="1">
            <w:hyperlink r:id="rId510" w:history="1">
              <w:r w:rsidRPr="00DF0780">
                <w:rPr>
                  <w:rStyle w:val="Hyperlink"/>
                </w:rPr>
                <w:t>LA</w:t>
              </w:r>
            </w:hyperlink>
            <w:r w:rsidRPr="00DF0780">
              <w:rPr>
                <w:rStyle w:val="Hyperlink"/>
              </w:rPr>
              <w:t xml:space="preserve"> </w:t>
            </w:r>
          </w:hyperlink>
        </w:hyperlink>
      </w:hyperlink>
      <w:r w:rsidRPr="00DF0780">
        <w:t>s 47).</w:t>
      </w:r>
      <w:r w:rsidRPr="00FD274F">
        <w:t xml:space="preserve"> If the original instrument or provision is disallowed, an instrument or provision the same in substance cannot be made for 6 months after the day of disallo</w:t>
      </w:r>
      <w:r w:rsidRPr="00DF0780">
        <w:t>wance (</w:t>
      </w:r>
      <w:hyperlink r:id="rId511" w:history="1">
        <w:hyperlink r:id="rId512" w:history="1">
          <w:hyperlink r:id="rId513" w:history="1">
            <w:hyperlink r:id="rId514" w:history="1">
              <w:r w:rsidRPr="00DF0780">
                <w:rPr>
                  <w:rStyle w:val="Hyperlink"/>
                </w:rPr>
                <w:t>LA</w:t>
              </w:r>
            </w:hyperlink>
            <w:r w:rsidRPr="00DF0780">
              <w:rPr>
                <w:rStyle w:val="Hyperlink"/>
              </w:rPr>
              <w:t xml:space="preserve"> </w:t>
            </w:r>
          </w:hyperlink>
        </w:hyperlink>
      </w:hyperlink>
      <w:r w:rsidRPr="00DF0780">
        <w:t>s 48).</w:t>
      </w:r>
    </w:p>
    <w:p w14:paraId="099384C9" w14:textId="77777777" w:rsidR="00E86304" w:rsidRPr="00FD274F" w:rsidRDefault="00E86304" w:rsidP="00E86304">
      <w:pPr>
        <w:pStyle w:val="BodyNum"/>
      </w:pPr>
      <w:r w:rsidRPr="00FD274F">
        <w:t>It is important to note that the restrictions on remaking are broadly expressed and focus on whether an instrument or provision is “the same in substance” as an earlier instrument or provision. This usually requires an assessment of whether it has “in large measure, though not in all details, the same effect” as an earlier instrument or provision</w:t>
      </w:r>
      <w:r w:rsidRPr="00FD274F">
        <w:rPr>
          <w:rStyle w:val="FootnoteReference"/>
        </w:rPr>
        <w:footnoteReference w:id="40"/>
      </w:r>
      <w:r w:rsidRPr="00FD274F">
        <w:t>.</w:t>
      </w:r>
    </w:p>
    <w:p w14:paraId="7B59D8C6" w14:textId="77777777" w:rsidR="00E86304" w:rsidRPr="00FD274F" w:rsidRDefault="00E86304" w:rsidP="00E86304">
      <w:pPr>
        <w:pStyle w:val="BodyNum"/>
      </w:pPr>
      <w:r w:rsidRPr="00FD274F">
        <w:t xml:space="preserve">It is also important to comply with the restrictions on remaking. An instrument or provision that is remade in breach of these restrictions has no effect, and can never take effect even if it is registered and </w:t>
      </w:r>
      <w:r w:rsidRPr="00DF0780">
        <w:t>tabled (</w:t>
      </w:r>
      <w:hyperlink r:id="rId515" w:history="1">
        <w:hyperlink r:id="rId516" w:history="1">
          <w:hyperlink r:id="rId517" w:history="1">
            <w:r w:rsidRPr="00DF0780">
              <w:rPr>
                <w:rStyle w:val="Hyperlink"/>
              </w:rPr>
              <w:t>LA</w:t>
            </w:r>
          </w:hyperlink>
          <w:r w:rsidRPr="00DF0780">
            <w:rPr>
              <w:rStyle w:val="Hyperlink"/>
            </w:rPr>
            <w:t xml:space="preserve"> </w:t>
          </w:r>
        </w:hyperlink>
      </w:hyperlink>
      <w:r w:rsidRPr="00DF0780">
        <w:t>s 46(3), s 47(3) and s 48(4)).</w:t>
      </w:r>
    </w:p>
    <w:p w14:paraId="40DE2841" w14:textId="77777777" w:rsidR="00E86304" w:rsidRPr="00FD274F" w:rsidRDefault="00E86304" w:rsidP="00E86304">
      <w:pPr>
        <w:pStyle w:val="BodyNum"/>
      </w:pPr>
      <w:r w:rsidRPr="00FD274F">
        <w:t>Consequently, if there is a compelling need to remake an instrument or provision before these restrictions end, there are only two practical options for resolving the situation:</w:t>
      </w:r>
    </w:p>
    <w:p w14:paraId="25BB1710" w14:textId="77777777" w:rsidR="00E86304" w:rsidRPr="00FD274F" w:rsidRDefault="00E86304" w:rsidP="00E86304">
      <w:pPr>
        <w:pStyle w:val="BodyPara"/>
      </w:pPr>
      <w:r w:rsidRPr="00FD274F">
        <w:t>remake the instrument or provision with changes, so that it is not the same in substance as the earlier instrument or provision, or</w:t>
      </w:r>
    </w:p>
    <w:p w14:paraId="1570854D" w14:textId="77777777" w:rsidR="00E86304" w:rsidRPr="00FD274F" w:rsidRDefault="00E86304" w:rsidP="00E86304">
      <w:pPr>
        <w:pStyle w:val="BodyPara"/>
      </w:pPr>
      <w:r w:rsidRPr="00FD274F">
        <w:t xml:space="preserve">seek a resolution by the Parliament approving the remaking of the instrument or provision </w:t>
      </w:r>
      <w:r w:rsidRPr="00DF0780">
        <w:t xml:space="preserve">(see </w:t>
      </w:r>
      <w:hyperlink r:id="rId518" w:history="1">
        <w:hyperlink r:id="rId519" w:history="1">
          <w:hyperlink r:id="rId520" w:history="1">
            <w:hyperlink r:id="rId521" w:history="1">
              <w:r w:rsidRPr="00DF0780">
                <w:rPr>
                  <w:rStyle w:val="Hyperlink"/>
                </w:rPr>
                <w:t>LA</w:t>
              </w:r>
            </w:hyperlink>
            <w:r w:rsidRPr="00DF0780">
              <w:rPr>
                <w:rStyle w:val="Hyperlink"/>
              </w:rPr>
              <w:t xml:space="preserve"> </w:t>
            </w:r>
          </w:hyperlink>
        </w:hyperlink>
      </w:hyperlink>
      <w:r w:rsidRPr="00DF0780">
        <w:t>s 46(1) and s 48(2)).</w:t>
      </w:r>
    </w:p>
    <w:p w14:paraId="18B68F33" w14:textId="77777777" w:rsidR="00E86304" w:rsidRPr="00FD274F" w:rsidRDefault="00E86304" w:rsidP="00E86304">
      <w:pPr>
        <w:pStyle w:val="BodyNum"/>
      </w:pPr>
      <w:bookmarkStart w:id="178" w:name="_Ref384353833"/>
      <w:r w:rsidRPr="00FD274F">
        <w:t xml:space="preserve">In either case, agencies are strongly advised to obtain legal advice on whether the proposed new instrument or provision is the same in substance as the earlier one. Also, </w:t>
      </w:r>
      <w:r>
        <w:t xml:space="preserve">agencies are advised </w:t>
      </w:r>
      <w:r w:rsidRPr="00FD274F">
        <w:t>to consider the possibility that the Parliament may disallow the new instrument or provision based on a broader view of the concept than that adopted by the courts to date.</w:t>
      </w:r>
    </w:p>
    <w:p w14:paraId="2EA06228" w14:textId="77777777" w:rsidR="00E86304" w:rsidRPr="00FD274F" w:rsidRDefault="00E86304" w:rsidP="00E86304">
      <w:pPr>
        <w:pStyle w:val="BodyNum"/>
      </w:pPr>
      <w:r w:rsidRPr="00FD274F">
        <w:t>If a Parliamentary resolution for remaking is obtained and an instrument or provision is remade, the resolution date and other details should be noted in the explanatory statement. This will ensure that the details are readily available if the validity of remaking is questioned at any point in the future.</w:t>
      </w:r>
      <w:bookmarkEnd w:id="178"/>
    </w:p>
    <w:p w14:paraId="59E26F12" w14:textId="77777777" w:rsidR="00E86304" w:rsidRPr="00FD274F" w:rsidRDefault="00E86304" w:rsidP="00E86304">
      <w:pPr>
        <w:pStyle w:val="BodyNum"/>
      </w:pPr>
      <w:bookmarkStart w:id="179" w:name="_Ref384355195"/>
      <w:r w:rsidRPr="00FD274F">
        <w:t>Similarly, if a decision is taken to remake an instrument or provision shortly after the restrictions have ended, the relevant date calculations should be included in the explanatory statement. This is particularly important if the new instrument is disallowable or the earlier instrument was disallowed.</w:t>
      </w:r>
      <w:bookmarkEnd w:id="179"/>
    </w:p>
    <w:p w14:paraId="5ECBFDDF" w14:textId="77777777" w:rsidR="00E86304" w:rsidRDefault="00E86304" w:rsidP="00E86304">
      <w:pPr>
        <w:pStyle w:val="Head2"/>
        <w:sectPr w:rsidR="00E86304" w:rsidSect="00E86304">
          <w:headerReference w:type="default" r:id="rId522"/>
          <w:footerReference w:type="default" r:id="rId523"/>
          <w:pgSz w:w="11907" w:h="16839" w:code="9"/>
          <w:pgMar w:top="1440" w:right="1440" w:bottom="1418" w:left="1440" w:header="720" w:footer="720" w:gutter="0"/>
          <w:cols w:sep="1" w:space="567"/>
          <w:docGrid w:linePitch="360"/>
        </w:sectPr>
      </w:pPr>
      <w:bookmarkStart w:id="180" w:name="Chapter10"/>
    </w:p>
    <w:p w14:paraId="52D74946" w14:textId="77777777" w:rsidR="00E86304" w:rsidRPr="00FD274F" w:rsidRDefault="00E86304" w:rsidP="00E86304">
      <w:pPr>
        <w:pStyle w:val="Head2"/>
      </w:pPr>
      <w:bookmarkStart w:id="181" w:name="_Toc238117579"/>
      <w:r w:rsidRPr="00FD274F">
        <w:lastRenderedPageBreak/>
        <w:t xml:space="preserve">Chapter </w:t>
      </w:r>
      <w:r>
        <w:t>9</w:t>
      </w:r>
      <w:r w:rsidRPr="00FD274F">
        <w:t>—Sunsetting</w:t>
      </w:r>
      <w:bookmarkEnd w:id="181"/>
    </w:p>
    <w:bookmarkEnd w:id="180"/>
    <w:p w14:paraId="2822E689" w14:textId="77777777" w:rsidR="00E86304" w:rsidRPr="00FD274F" w:rsidRDefault="00E86304" w:rsidP="00E86304">
      <w:pPr>
        <w:pStyle w:val="SundryBoxHeadBold"/>
      </w:pPr>
      <w:r w:rsidRPr="00FD274F">
        <w:t>Main points</w:t>
      </w:r>
    </w:p>
    <w:p w14:paraId="5DF2E305" w14:textId="77777777" w:rsidR="00E86304" w:rsidRPr="00FD274F" w:rsidRDefault="00E86304" w:rsidP="00E86304">
      <w:pPr>
        <w:pStyle w:val="SundryBoxBullet"/>
      </w:pPr>
      <w:r w:rsidRPr="00FD274F">
        <w:t>•</w:t>
      </w:r>
      <w:r w:rsidRPr="00FD274F">
        <w:tab/>
        <w:t>Many legislative instruments are auto</w:t>
      </w:r>
      <w:r w:rsidRPr="00474C8A">
        <w:t xml:space="preserve">matically repealed after 10 years—this process is known as sunsetting and is governed by Part 4 of Chapter 3 of the </w:t>
      </w:r>
      <w:hyperlink r:id="rId524" w:history="1">
        <w:r w:rsidRPr="00474C8A">
          <w:rPr>
            <w:rStyle w:val="Hyperlink"/>
          </w:rPr>
          <w:t>LA</w:t>
        </w:r>
      </w:hyperlink>
      <w:r w:rsidRPr="00474C8A">
        <w:t>.</w:t>
      </w:r>
    </w:p>
    <w:p w14:paraId="49FC1B12" w14:textId="77777777" w:rsidR="00E86304" w:rsidRDefault="00E86304" w:rsidP="00E86304">
      <w:pPr>
        <w:pStyle w:val="SundryBoxBullet"/>
      </w:pPr>
      <w:r w:rsidRPr="00FD274F">
        <w:t>•</w:t>
      </w:r>
      <w:r w:rsidRPr="00FD274F">
        <w:tab/>
      </w:r>
      <w:r>
        <w:rPr>
          <w:rFonts w:eastAsia="Times New Roman"/>
        </w:rPr>
        <w:t>Early action on sunsetting is required to achieve a smooth process and ensure instruments are remade in good time.</w:t>
      </w:r>
    </w:p>
    <w:p w14:paraId="67A75CBA" w14:textId="77777777" w:rsidR="00E86304" w:rsidRPr="00FD274F" w:rsidRDefault="00E86304" w:rsidP="00E86304">
      <w:pPr>
        <w:pStyle w:val="SundryBoxBullet"/>
      </w:pPr>
      <w:r w:rsidRPr="00FD274F">
        <w:t>•</w:t>
      </w:r>
      <w:r w:rsidRPr="00FD274F">
        <w:tab/>
        <w:t>Sunset dates can only be deferred or rolled over in limited circumstances, and this requires the consent of the Attorney</w:t>
      </w:r>
      <w:r>
        <w:noBreakHyphen/>
      </w:r>
      <w:r w:rsidRPr="00FD274F">
        <w:t>General, the Parliament or both.</w:t>
      </w:r>
    </w:p>
    <w:p w14:paraId="1A9D2796" w14:textId="77777777" w:rsidR="00E86304" w:rsidRPr="00FD274F" w:rsidRDefault="00E86304" w:rsidP="00E86304">
      <w:pPr>
        <w:pStyle w:val="SundryBoxBullet"/>
      </w:pPr>
      <w:r w:rsidRPr="00FD274F">
        <w:t>•</w:t>
      </w:r>
      <w:r w:rsidRPr="00FD274F">
        <w:tab/>
        <w:t>In many cases, a replacement instrument will need to be made and registered before an instrument sunsets to ensure continuity of the law.</w:t>
      </w:r>
    </w:p>
    <w:p w14:paraId="1A045B12" w14:textId="77777777" w:rsidR="00E86304" w:rsidRPr="00FD274F" w:rsidRDefault="00E86304" w:rsidP="00E86304">
      <w:pPr>
        <w:pStyle w:val="Head3"/>
      </w:pPr>
      <w:bookmarkStart w:id="182" w:name="_Toc238117580"/>
      <w:r w:rsidRPr="00FD274F">
        <w:t>Background</w:t>
      </w:r>
      <w:bookmarkEnd w:id="182"/>
    </w:p>
    <w:p w14:paraId="34267025" w14:textId="77777777" w:rsidR="00E86304" w:rsidRPr="00FD274F" w:rsidRDefault="00E86304" w:rsidP="00E86304">
      <w:pPr>
        <w:pStyle w:val="BodyNum"/>
      </w:pPr>
      <w:r w:rsidRPr="00FD274F">
        <w:t xml:space="preserve">This chapter describes the framework for sunsetting established by </w:t>
      </w:r>
      <w:r w:rsidRPr="00474C8A">
        <w:t xml:space="preserve">the </w:t>
      </w:r>
      <w:hyperlink r:id="rId525" w:history="1">
        <w:r w:rsidRPr="00474C8A">
          <w:rPr>
            <w:rStyle w:val="Hyperlink"/>
          </w:rPr>
          <w:t>LA</w:t>
        </w:r>
      </w:hyperlink>
      <w:r w:rsidRPr="00474C8A">
        <w:t>,</w:t>
      </w:r>
      <w:r w:rsidRPr="00FD274F">
        <w:t xml:space="preserve"> and highlights key considerations in the drafting and registration of instruments. It shou</w:t>
      </w:r>
      <w:r>
        <w:t>ld be read in conjunction with:</w:t>
      </w:r>
    </w:p>
    <w:p w14:paraId="41A91488" w14:textId="77777777" w:rsidR="00E86304" w:rsidRDefault="00E86304" w:rsidP="00E86304">
      <w:pPr>
        <w:pStyle w:val="BodyPara"/>
      </w:pPr>
      <w:r w:rsidRPr="00FD274F">
        <w:t>the A</w:t>
      </w:r>
      <w:r w:rsidRPr="00474C8A">
        <w:t>GD Guide to Managing Sunsetting of Legislative Instruments</w:t>
      </w:r>
      <w:r w:rsidRPr="00474C8A">
        <w:rPr>
          <w:rStyle w:val="FootnoteReference"/>
        </w:rPr>
        <w:footnoteReference w:id="41"/>
      </w:r>
      <w:r w:rsidRPr="00474C8A">
        <w:t>; a</w:t>
      </w:r>
      <w:r w:rsidRPr="00FD274F">
        <w:t>nd</w:t>
      </w:r>
    </w:p>
    <w:p w14:paraId="0E857E20" w14:textId="77777777" w:rsidR="00E86304" w:rsidRPr="00FD274F" w:rsidRDefault="00E86304" w:rsidP="00E86304">
      <w:pPr>
        <w:pStyle w:val="BodyPara"/>
      </w:pPr>
      <w:r w:rsidRPr="00474C8A">
        <w:t>the Sunsetting Checklist in Appendix A of this Handbook;</w:t>
      </w:r>
      <w:r>
        <w:t xml:space="preserve"> and</w:t>
      </w:r>
    </w:p>
    <w:p w14:paraId="32444780" w14:textId="77777777" w:rsidR="00E86304" w:rsidRPr="00FD274F" w:rsidRDefault="00E86304" w:rsidP="00E86304">
      <w:pPr>
        <w:pStyle w:val="BodyPara"/>
      </w:pPr>
      <w:r w:rsidRPr="00FD274F">
        <w:t>the Austra</w:t>
      </w:r>
      <w:r w:rsidRPr="00474C8A">
        <w:t>lian Government’s deregulation policies.</w:t>
      </w:r>
    </w:p>
    <w:p w14:paraId="0077C3FC" w14:textId="77777777" w:rsidR="00E86304" w:rsidRPr="00FD274F" w:rsidRDefault="00E86304" w:rsidP="00E86304">
      <w:pPr>
        <w:pStyle w:val="BodyNum"/>
      </w:pPr>
      <w:r w:rsidRPr="00FD274F">
        <w:t xml:space="preserve">The automatic repeal or sunsetting of older legislative instruments presents a unique opportunity for the Australian Government to reduce red tape, deliver clearer laws, and align existing legislation </w:t>
      </w:r>
      <w:r>
        <w:t>with current government policy.</w:t>
      </w:r>
    </w:p>
    <w:p w14:paraId="0DA63CCB" w14:textId="77777777" w:rsidR="00E86304" w:rsidRPr="00FD274F" w:rsidRDefault="00E86304" w:rsidP="00E86304">
      <w:pPr>
        <w:pStyle w:val="BodyNum"/>
      </w:pPr>
      <w:r w:rsidRPr="00FD274F">
        <w:t xml:space="preserve">Sunsetting may, at first, require some agencies to change the way they manage their legislation but it is an important process. Its purpose is to “ensure that legislative instruments are kept </w:t>
      </w:r>
      <w:r>
        <w:t>up to date</w:t>
      </w:r>
      <w:r w:rsidRPr="00FD274F">
        <w:t xml:space="preserve"> and only remain in force for </w:t>
      </w:r>
      <w:r>
        <w:t>so</w:t>
      </w:r>
      <w:r w:rsidRPr="00FD274F">
        <w:t xml:space="preserve"> long as they are needed</w:t>
      </w:r>
      <w:r w:rsidRPr="00474C8A">
        <w:t>” (</w:t>
      </w:r>
      <w:hyperlink r:id="rId526" w:history="1">
        <w:hyperlink r:id="rId527" w:history="1">
          <w:hyperlink r:id="rId528" w:history="1">
            <w:hyperlink r:id="rId529" w:history="1">
              <w:r w:rsidRPr="00474C8A">
                <w:rPr>
                  <w:rStyle w:val="Hyperlink"/>
                </w:rPr>
                <w:t>LA</w:t>
              </w:r>
            </w:hyperlink>
            <w:r w:rsidRPr="00474C8A">
              <w:rPr>
                <w:rStyle w:val="Hyperlink"/>
              </w:rPr>
              <w:t xml:space="preserve"> </w:t>
            </w:r>
          </w:hyperlink>
        </w:hyperlink>
      </w:hyperlink>
      <w:r w:rsidRPr="00474C8A">
        <w:t>s 49).</w:t>
      </w:r>
    </w:p>
    <w:p w14:paraId="3D76EB99" w14:textId="77777777" w:rsidR="00E86304" w:rsidRPr="00FD274F" w:rsidRDefault="00E86304" w:rsidP="00E86304">
      <w:pPr>
        <w:pStyle w:val="BodyNum"/>
      </w:pPr>
      <w:r w:rsidRPr="00FD274F">
        <w:t>As a general guide, agencies should plan ahead and</w:t>
      </w:r>
      <w:r>
        <w:t>,</w:t>
      </w:r>
      <w:r w:rsidRPr="00FD274F">
        <w:t xml:space="preserve"> if appropriate</w:t>
      </w:r>
      <w:r>
        <w:t>,</w:t>
      </w:r>
      <w:r w:rsidRPr="00FD274F">
        <w:t xml:space="preserve"> negotiate minor changes to sunset dates. If an instrument is no longer required, it should be repealed (see </w:t>
      </w:r>
      <w:r w:rsidRPr="00307FAD">
        <w:t xml:space="preserve">paragraph </w:t>
      </w:r>
      <w:r w:rsidRPr="00474C8A">
        <w:fldChar w:fldCharType="begin"/>
      </w:r>
      <w:r w:rsidRPr="00307FAD">
        <w:instrText xml:space="preserve"> REF _Ref367446866 \w \h  \* MERGEFORMAT </w:instrText>
      </w:r>
      <w:r w:rsidRPr="00474C8A">
        <w:fldChar w:fldCharType="separate"/>
      </w:r>
      <w:r>
        <w:t>205</w:t>
      </w:r>
      <w:r w:rsidRPr="00474C8A">
        <w:fldChar w:fldCharType="end"/>
      </w:r>
      <w:r w:rsidRPr="00307FAD">
        <w:t>). Othe</w:t>
      </w:r>
      <w:r w:rsidRPr="00FD274F">
        <w:t xml:space="preserve">rwise the instrument should be reviewed </w:t>
      </w:r>
      <w:r w:rsidRPr="00E10ECD">
        <w:t xml:space="preserve">(see paragraph </w:t>
      </w:r>
      <w:r w:rsidRPr="00474C8A">
        <w:fldChar w:fldCharType="begin"/>
      </w:r>
      <w:r w:rsidRPr="00E10ECD">
        <w:instrText xml:space="preserve"> REF _Ref378066686 \r \h </w:instrText>
      </w:r>
      <w:r>
        <w:rPr>
          <w:highlight w:val="yellow"/>
        </w:rPr>
        <w:instrText xml:space="preserve"> \* MERGEFORMAT </w:instrText>
      </w:r>
      <w:r w:rsidRPr="00474C8A">
        <w:fldChar w:fldCharType="separate"/>
      </w:r>
      <w:r>
        <w:t>334</w:t>
      </w:r>
      <w:r w:rsidRPr="00474C8A">
        <w:fldChar w:fldCharType="end"/>
      </w:r>
      <w:r w:rsidRPr="00E10ECD">
        <w:t>). If</w:t>
      </w:r>
      <w:r w:rsidRPr="00FD274F">
        <w:t xml:space="preserve"> the review establishes that the instrument is still required, the instrument should be:</w:t>
      </w:r>
    </w:p>
    <w:p w14:paraId="1639263D" w14:textId="77777777" w:rsidR="00E86304" w:rsidRPr="00FD274F" w:rsidRDefault="00E86304" w:rsidP="00E86304">
      <w:pPr>
        <w:pStyle w:val="BodyPara"/>
      </w:pPr>
      <w:r>
        <w:t>replaced</w:t>
      </w:r>
      <w:r w:rsidRPr="00FD274F">
        <w:t xml:space="preserve"> and reg</w:t>
      </w:r>
      <w:r>
        <w:t>istered before the instrument’s scheduled sunsetting date,</w:t>
      </w:r>
      <w:r w:rsidRPr="00FD274F">
        <w:t xml:space="preserve"> to ensure continuity of the </w:t>
      </w:r>
      <w:r w:rsidRPr="00E10ECD">
        <w:t xml:space="preserve">law (see paragraph </w:t>
      </w:r>
      <w:r w:rsidRPr="00474C8A">
        <w:fldChar w:fldCharType="begin"/>
      </w:r>
      <w:r w:rsidRPr="00E10ECD">
        <w:instrText xml:space="preserve"> REF _Ref435534951 \r \h </w:instrText>
      </w:r>
      <w:r>
        <w:rPr>
          <w:highlight w:val="yellow"/>
        </w:rPr>
        <w:instrText xml:space="preserve"> \* MERGEFORMAT </w:instrText>
      </w:r>
      <w:r w:rsidRPr="00474C8A">
        <w:fldChar w:fldCharType="separate"/>
      </w:r>
      <w:r>
        <w:t>354</w:t>
      </w:r>
      <w:r w:rsidRPr="00474C8A">
        <w:fldChar w:fldCharType="end"/>
      </w:r>
      <w:r w:rsidRPr="00E10ECD">
        <w:t>);</w:t>
      </w:r>
      <w:r w:rsidRPr="00FD274F">
        <w:t xml:space="preserve"> or</w:t>
      </w:r>
    </w:p>
    <w:p w14:paraId="297C9F45" w14:textId="77777777" w:rsidR="00E86304" w:rsidRPr="00FD274F" w:rsidRDefault="00E86304" w:rsidP="00E86304">
      <w:pPr>
        <w:pStyle w:val="BodyPara"/>
      </w:pPr>
      <w:r w:rsidRPr="00FD274F">
        <w:t xml:space="preserve">rolled over (if appropriate, see </w:t>
      </w:r>
      <w:r w:rsidRPr="00E10ECD">
        <w:t xml:space="preserve">paragraph </w:t>
      </w:r>
      <w:r w:rsidRPr="00474C8A">
        <w:fldChar w:fldCharType="begin"/>
      </w:r>
      <w:r w:rsidRPr="00E10ECD">
        <w:instrText xml:space="preserve"> REF _Ref367447300 \r \h </w:instrText>
      </w:r>
      <w:r>
        <w:rPr>
          <w:highlight w:val="yellow"/>
        </w:rPr>
        <w:instrText xml:space="preserve"> \* MERGEFORMAT </w:instrText>
      </w:r>
      <w:r w:rsidRPr="00474C8A">
        <w:fldChar w:fldCharType="separate"/>
      </w:r>
      <w:r>
        <w:t>345</w:t>
      </w:r>
      <w:r w:rsidRPr="00474C8A">
        <w:fldChar w:fldCharType="end"/>
      </w:r>
      <w:r w:rsidRPr="00E10ECD">
        <w:t>).</w:t>
      </w:r>
    </w:p>
    <w:p w14:paraId="2CF6DAE2" w14:textId="77777777" w:rsidR="00E86304" w:rsidRPr="00FD274F" w:rsidRDefault="00E86304" w:rsidP="00E86304">
      <w:pPr>
        <w:pStyle w:val="BodyNum"/>
        <w:keepLines/>
      </w:pPr>
      <w:r w:rsidRPr="00FD274F">
        <w:lastRenderedPageBreak/>
        <w:t>Agencies should prepare for sunsetting well in advance of an instrument’s sunset date</w:t>
      </w:r>
      <w:r>
        <w:t>,</w:t>
      </w:r>
      <w:r w:rsidRPr="00FD274F">
        <w:t xml:space="preserve"> as the process of reviewing an instrument, and acting on review recommendations, can be lengthy. The process may also attract significant Parliamentary and public scrutiny, even</w:t>
      </w:r>
      <w:r>
        <w:t xml:space="preserve"> if no changes are recommended.</w:t>
      </w:r>
    </w:p>
    <w:p w14:paraId="1537C827" w14:textId="77777777" w:rsidR="00E86304" w:rsidRPr="00FD274F" w:rsidRDefault="00E86304" w:rsidP="00E86304">
      <w:pPr>
        <w:pStyle w:val="BodyNum"/>
      </w:pPr>
      <w:r w:rsidRPr="00FD274F">
        <w:t xml:space="preserve">For further guidance on preparation for sunsetting and the risks of inaction, see the </w:t>
      </w:r>
      <w:r w:rsidRPr="00474C8A">
        <w:t>AGD Guide to Managing Sunsetting of Legislative Instruments</w:t>
      </w:r>
      <w:r w:rsidRPr="00474C8A">
        <w:rPr>
          <w:rStyle w:val="FootnoteReference"/>
        </w:rPr>
        <w:footnoteReference w:id="42"/>
      </w:r>
      <w:r w:rsidRPr="00474C8A">
        <w:t xml:space="preserve"> o</w:t>
      </w:r>
      <w:r w:rsidRPr="00FD274F">
        <w:t>r contact AGD (</w:t>
      </w:r>
      <w:r>
        <w:t xml:space="preserve">email </w:t>
      </w:r>
      <w:hyperlink r:id="rId530" w:history="1">
        <w:r w:rsidRPr="00FD274F">
          <w:rPr>
            <w:rStyle w:val="Hyperlink"/>
          </w:rPr>
          <w:t>sunsetting@ag.gov.au</w:t>
        </w:r>
      </w:hyperlink>
      <w:r w:rsidRPr="00FD274F">
        <w:t xml:space="preserve"> or </w:t>
      </w:r>
      <w:r>
        <w:t xml:space="preserve">call the AGD Switchboard on </w:t>
      </w:r>
      <w:r w:rsidRPr="00E277CA">
        <w:t>(02) 6141 6666</w:t>
      </w:r>
      <w:r>
        <w:t xml:space="preserve"> and ask to be redirected to the Administrative Law Section</w:t>
      </w:r>
      <w:r w:rsidRPr="00F409B4">
        <w:t>)</w:t>
      </w:r>
      <w:r>
        <w:t>.</w:t>
      </w:r>
    </w:p>
    <w:p w14:paraId="18062E8D" w14:textId="77777777" w:rsidR="00E86304" w:rsidRPr="00FD274F" w:rsidRDefault="00E86304" w:rsidP="00E86304">
      <w:pPr>
        <w:pStyle w:val="Head3"/>
      </w:pPr>
      <w:bookmarkStart w:id="183" w:name="_Toc238117581"/>
      <w:r w:rsidRPr="00FD274F">
        <w:t>How sunsetting works</w:t>
      </w:r>
      <w:bookmarkEnd w:id="183"/>
    </w:p>
    <w:p w14:paraId="40349B68" w14:textId="77777777" w:rsidR="00E86304" w:rsidRPr="00FD274F" w:rsidRDefault="00E86304" w:rsidP="00E86304">
      <w:pPr>
        <w:pStyle w:val="BodyNum"/>
      </w:pPr>
      <w:r w:rsidRPr="00C55DA3">
        <w:t xml:space="preserve">Part 4 of Chapter 3 of the </w:t>
      </w:r>
      <w:hyperlink r:id="rId531" w:history="1">
        <w:hyperlink r:id="rId532" w:history="1">
          <w:hyperlink r:id="rId533" w:history="1">
            <w:r w:rsidRPr="00C55DA3">
              <w:rPr>
                <w:rStyle w:val="Hyperlink"/>
              </w:rPr>
              <w:t>LA</w:t>
            </w:r>
          </w:hyperlink>
          <w:r w:rsidRPr="00C55DA3">
            <w:rPr>
              <w:rStyle w:val="Hyperlink"/>
            </w:rPr>
            <w:t xml:space="preserve"> </w:t>
          </w:r>
        </w:hyperlink>
      </w:hyperlink>
      <w:r w:rsidRPr="00C55DA3">
        <w:t>pr</w:t>
      </w:r>
      <w:r w:rsidRPr="00FD274F">
        <w:t>ovides for:</w:t>
      </w:r>
    </w:p>
    <w:p w14:paraId="3D3AC9DC" w14:textId="77777777" w:rsidR="00E86304" w:rsidRPr="00FD274F" w:rsidRDefault="00E86304" w:rsidP="00E86304">
      <w:pPr>
        <w:pStyle w:val="BodyPara"/>
      </w:pPr>
      <w:r w:rsidRPr="00FD274F">
        <w:t>regulations and other legislative instruments to sunset on predictable dates, either 1 April or 1 October each year</w:t>
      </w:r>
      <w:r>
        <w:t>; and</w:t>
      </w:r>
    </w:p>
    <w:p w14:paraId="135ED80A" w14:textId="77777777" w:rsidR="00E86304" w:rsidRPr="00FD274F" w:rsidRDefault="00E86304" w:rsidP="00E86304">
      <w:pPr>
        <w:pStyle w:val="BodyPara"/>
      </w:pPr>
      <w:r w:rsidRPr="00FD274F">
        <w:t>a list of sunsetting instruments to be tabled 18 months before each sunset date.</w:t>
      </w:r>
    </w:p>
    <w:p w14:paraId="3892A650" w14:textId="77777777" w:rsidR="00E86304" w:rsidRPr="00FD274F" w:rsidRDefault="00E86304" w:rsidP="00E86304">
      <w:pPr>
        <w:pStyle w:val="BodyNum"/>
      </w:pPr>
      <w:r w:rsidRPr="00FD274F">
        <w:t xml:space="preserve">Although </w:t>
      </w:r>
      <w:r>
        <w:t>there are mechanisms for postponing an instrument’s scheduled sunsetting date, or permanently exempting it from sunsetting, these options are only available</w:t>
      </w:r>
      <w:r w:rsidRPr="00FD274F">
        <w:t xml:space="preserve"> in limited circumstances. Further guidance on such matters is pr</w:t>
      </w:r>
      <w:r w:rsidRPr="008C5E45">
        <w:t xml:space="preserve">ovided in paragraphs </w:t>
      </w:r>
      <w:r w:rsidRPr="00C55DA3">
        <w:fldChar w:fldCharType="begin"/>
      </w:r>
      <w:r w:rsidRPr="008C5E45">
        <w:instrText xml:space="preserve"> REF _Ref384723553 \r \h </w:instrText>
      </w:r>
      <w:r>
        <w:rPr>
          <w:highlight w:val="yellow"/>
        </w:rPr>
        <w:instrText xml:space="preserve"> \* MERGEFORMAT </w:instrText>
      </w:r>
      <w:r w:rsidRPr="00C55DA3">
        <w:fldChar w:fldCharType="separate"/>
      </w:r>
      <w:r>
        <w:t>321</w:t>
      </w:r>
      <w:r w:rsidRPr="00C55DA3">
        <w:fldChar w:fldCharType="end"/>
      </w:r>
      <w:r w:rsidRPr="008C5E45">
        <w:t xml:space="preserve">, </w:t>
      </w:r>
      <w:r w:rsidRPr="00C55DA3">
        <w:fldChar w:fldCharType="begin"/>
      </w:r>
      <w:r w:rsidRPr="008C5E45">
        <w:instrText xml:space="preserve"> REF _Ref384350103 \r \h </w:instrText>
      </w:r>
      <w:r>
        <w:rPr>
          <w:highlight w:val="yellow"/>
        </w:rPr>
        <w:instrText xml:space="preserve"> \* MERGEFORMAT </w:instrText>
      </w:r>
      <w:r w:rsidRPr="00C55DA3">
        <w:fldChar w:fldCharType="separate"/>
      </w:r>
      <w:r>
        <w:t>337</w:t>
      </w:r>
      <w:r w:rsidRPr="00C55DA3">
        <w:fldChar w:fldCharType="end"/>
      </w:r>
      <w:r w:rsidRPr="008C5E45">
        <w:t xml:space="preserve"> and </w:t>
      </w:r>
      <w:r w:rsidRPr="00C55DA3">
        <w:fldChar w:fldCharType="begin"/>
      </w:r>
      <w:r w:rsidRPr="008C5E45">
        <w:instrText xml:space="preserve"> REF _Ref367447300 \r \h </w:instrText>
      </w:r>
      <w:r>
        <w:rPr>
          <w:highlight w:val="yellow"/>
        </w:rPr>
        <w:instrText xml:space="preserve"> \* MERGEFORMAT </w:instrText>
      </w:r>
      <w:r w:rsidRPr="00C55DA3">
        <w:fldChar w:fldCharType="separate"/>
      </w:r>
      <w:r>
        <w:t>345</w:t>
      </w:r>
      <w:r w:rsidRPr="00C55DA3">
        <w:fldChar w:fldCharType="end"/>
      </w:r>
      <w:r w:rsidRPr="008C5E45">
        <w:t>.</w:t>
      </w:r>
    </w:p>
    <w:p w14:paraId="6D032B1E" w14:textId="77777777" w:rsidR="00E86304" w:rsidRPr="00FD274F" w:rsidRDefault="00E86304" w:rsidP="00E86304">
      <w:pPr>
        <w:pStyle w:val="BodyNum"/>
      </w:pPr>
      <w:r w:rsidRPr="00FD274F">
        <w:t xml:space="preserve">Even if a legislative instrument is exempt from sunsetting, it may still need to be reviewed periodically to comply with specific statutory obligations in the enabling legislation and with the Australian Government’s </w:t>
      </w:r>
      <w:r>
        <w:t>Impact Analysis Framework</w:t>
      </w:r>
      <w:r w:rsidRPr="00FD274F">
        <w:t xml:space="preserve">. For more information, please contact </w:t>
      </w:r>
      <w:proofErr w:type="spellStart"/>
      <w:r>
        <w:t>OIA</w:t>
      </w:r>
      <w:proofErr w:type="spellEnd"/>
      <w:r w:rsidRPr="00FD274F">
        <w:t xml:space="preserve"> (</w:t>
      </w:r>
      <w:hyperlink r:id="rId534" w:history="1">
        <w:r w:rsidRPr="00FD274F">
          <w:rPr>
            <w:rStyle w:val="Hyperlink"/>
          </w:rPr>
          <w:t>helpdesk</w:t>
        </w:r>
        <w:r>
          <w:rPr>
            <w:rStyle w:val="Hyperlink"/>
          </w:rPr>
          <w:noBreakHyphen/>
          <w:t>OIA</w:t>
        </w:r>
        <w:r w:rsidRPr="00FD274F">
          <w:rPr>
            <w:rStyle w:val="Hyperlink"/>
          </w:rPr>
          <w:t>@pmc.gov.au</w:t>
        </w:r>
      </w:hyperlink>
      <w:r w:rsidRPr="00FD274F">
        <w:rPr>
          <w:rStyle w:val="Hyperlink"/>
        </w:rPr>
        <w:t xml:space="preserve"> </w:t>
      </w:r>
      <w:r w:rsidRPr="00FD274F">
        <w:t>or (02) 6271 6270).</w:t>
      </w:r>
    </w:p>
    <w:p w14:paraId="2D9A18DB" w14:textId="77777777" w:rsidR="00E86304" w:rsidRPr="00FD274F" w:rsidRDefault="00E86304" w:rsidP="00E86304">
      <w:pPr>
        <w:pStyle w:val="Head4"/>
      </w:pPr>
      <w:r w:rsidRPr="00FD274F">
        <w:t>What instruments are exempt from sunsetting</w:t>
      </w:r>
    </w:p>
    <w:p w14:paraId="0BB86640" w14:textId="77777777" w:rsidR="00E86304" w:rsidRPr="00FD274F" w:rsidRDefault="00E86304" w:rsidP="00E86304">
      <w:pPr>
        <w:pStyle w:val="BodyNum"/>
      </w:pPr>
      <w:bookmarkStart w:id="184" w:name="_Ref384723553"/>
      <w:r w:rsidRPr="00FD274F">
        <w:t>Under th</w:t>
      </w:r>
      <w:r w:rsidRPr="00C55DA3">
        <w:t xml:space="preserve">e </w:t>
      </w:r>
      <w:hyperlink r:id="rId535" w:history="1">
        <w:r w:rsidRPr="00C55DA3">
          <w:rPr>
            <w:rStyle w:val="Hyperlink"/>
          </w:rPr>
          <w:t>LA</w:t>
        </w:r>
      </w:hyperlink>
      <w:r w:rsidRPr="00C55DA3">
        <w:t>,</w:t>
      </w:r>
      <w:r w:rsidRPr="00FD274F">
        <w:t xml:space="preserve"> all legislative instruments are subject to sunsetting unless they are exempt from sunsetting. Exemptions may be set out in se</w:t>
      </w:r>
      <w:r w:rsidRPr="00C55DA3">
        <w:t xml:space="preserve">ction 54 of the </w:t>
      </w:r>
      <w:hyperlink r:id="rId536" w:history="1">
        <w:hyperlink r:id="rId537" w:history="1">
          <w:hyperlink r:id="rId538" w:history="1">
            <w:r w:rsidRPr="00C55DA3">
              <w:rPr>
                <w:rStyle w:val="Hyperlink"/>
              </w:rPr>
              <w:t>LA</w:t>
            </w:r>
          </w:hyperlink>
        </w:hyperlink>
      </w:hyperlink>
      <w:r w:rsidRPr="00C55DA3">
        <w:t>,</w:t>
      </w:r>
      <w:r w:rsidRPr="00FD274F">
        <w:t xml:space="preserve"> sectio</w:t>
      </w:r>
      <w:r w:rsidRPr="00C55DA3">
        <w:t xml:space="preserve">ns 11 and 12 of </w:t>
      </w:r>
      <w:hyperlink r:id="rId539" w:history="1">
        <w:hyperlink r:id="rId540" w:history="1">
          <w:hyperlink r:id="rId541" w:history="1">
            <w:r w:rsidRPr="00C55DA3">
              <w:rPr>
                <w:rStyle w:val="Hyperlink"/>
              </w:rPr>
              <w:t>LEOMR</w:t>
            </w:r>
          </w:hyperlink>
        </w:hyperlink>
      </w:hyperlink>
      <w:r w:rsidRPr="00C55DA3">
        <w:t xml:space="preserve"> or, in v</w:t>
      </w:r>
      <w:r>
        <w:t xml:space="preserve">ery limited cases, </w:t>
      </w:r>
      <w:r w:rsidRPr="00FD274F">
        <w:t>the enabling legislation.</w:t>
      </w:r>
      <w:bookmarkEnd w:id="184"/>
    </w:p>
    <w:p w14:paraId="3C374CD0" w14:textId="77777777" w:rsidR="00E86304" w:rsidRPr="00FD274F" w:rsidRDefault="00E86304" w:rsidP="00E86304">
      <w:pPr>
        <w:pStyle w:val="BodyNum"/>
      </w:pPr>
      <w:r w:rsidRPr="00FD274F">
        <w:t>When an instrument is lodged for registration, the lodging agency is asked to certify a range of information including whether an exemption from sunsetting applies and, if so, what legisl</w:t>
      </w:r>
      <w:r>
        <w:t>ation authorises the exemption.</w:t>
      </w:r>
    </w:p>
    <w:p w14:paraId="308A9DCE" w14:textId="77777777" w:rsidR="00E86304" w:rsidRPr="00FD274F" w:rsidRDefault="00E86304" w:rsidP="00E86304">
      <w:pPr>
        <w:pStyle w:val="BodyNum"/>
      </w:pPr>
      <w:r w:rsidRPr="00FD274F">
        <w:t xml:space="preserve">Most exemptions are straightforward and nominate a specific enabling provision such as instruments </w:t>
      </w:r>
      <w:r w:rsidRPr="007809FB">
        <w:t xml:space="preserve">made under section 123 of the </w:t>
      </w:r>
      <w:r>
        <w:rPr>
          <w:i/>
        </w:rPr>
        <w:t>Example</w:t>
      </w:r>
      <w:r w:rsidRPr="007809FB">
        <w:rPr>
          <w:i/>
        </w:rPr>
        <w:t xml:space="preserve"> Act 20</w:t>
      </w:r>
      <w:r>
        <w:rPr>
          <w:i/>
        </w:rPr>
        <w:t>24</w:t>
      </w:r>
      <w:r w:rsidRPr="007809FB">
        <w:t>. Ho</w:t>
      </w:r>
      <w:r w:rsidRPr="00FD274F">
        <w:t>wever, other exemptions are more generic and some can be difficult to apply, particularly if they refer t</w:t>
      </w:r>
      <w:r>
        <w:t>o the purpose of an instrument.</w:t>
      </w:r>
    </w:p>
    <w:p w14:paraId="50D4C44C" w14:textId="77777777" w:rsidR="00E86304" w:rsidRPr="00FD274F" w:rsidRDefault="00E86304" w:rsidP="00E86304">
      <w:pPr>
        <w:pStyle w:val="BodyNum"/>
      </w:pPr>
      <w:r w:rsidRPr="00FD274F">
        <w:t>If there is any doubt about whether an instrument is exempt from sunsetting, the rule</w:t>
      </w:r>
      <w:r>
        <w:noBreakHyphen/>
      </w:r>
      <w:r w:rsidRPr="00FD274F">
        <w:t xml:space="preserve">making agency should seek legal advice and consider the potential risks to government policy if the instrument is not listed for sunsetting. There will be significant legal and other consequences if, for example, an agency claims that an instrument is exempt but a court later finds that the instrument was not exempt and has </w:t>
      </w:r>
      <w:proofErr w:type="spellStart"/>
      <w:r w:rsidRPr="00FD274F">
        <w:t>sunsetted</w:t>
      </w:r>
      <w:proofErr w:type="spellEnd"/>
      <w:r w:rsidRPr="00FD274F">
        <w:t>.</w:t>
      </w:r>
    </w:p>
    <w:p w14:paraId="0D7B76FF" w14:textId="77777777" w:rsidR="00E86304" w:rsidRPr="00FD274F" w:rsidRDefault="00E86304" w:rsidP="00E86304">
      <w:pPr>
        <w:pStyle w:val="BodyNum"/>
      </w:pPr>
      <w:r w:rsidRPr="00FD274F">
        <w:lastRenderedPageBreak/>
        <w:t>The formal policy approval of both the responsible Minister and the Attorney</w:t>
      </w:r>
      <w:r>
        <w:noBreakHyphen/>
      </w:r>
      <w:r w:rsidRPr="00FD274F">
        <w:t xml:space="preserve">General is required to create a new exemption from sunsetting. Proposals for a new exemption should be discussed in the first instance with AGD </w:t>
      </w:r>
      <w:r w:rsidRPr="00F409B4">
        <w:t>(</w:t>
      </w:r>
      <w:r>
        <w:t xml:space="preserve">email </w:t>
      </w:r>
      <w:hyperlink r:id="rId542" w:history="1">
        <w:r w:rsidRPr="00C24A30">
          <w:rPr>
            <w:rStyle w:val="Hyperlink"/>
          </w:rPr>
          <w:t>adminlaw@ag.gov.au</w:t>
        </w:r>
      </w:hyperlink>
      <w:r w:rsidRPr="00FD274F">
        <w:rPr>
          <w:rStyle w:val="Hyperlink"/>
        </w:rPr>
        <w:t xml:space="preserve"> </w:t>
      </w:r>
      <w:r w:rsidRPr="00FD274F">
        <w:t xml:space="preserve">or </w:t>
      </w:r>
      <w:r>
        <w:t xml:space="preserve">call the AGD Switchboard on </w:t>
      </w:r>
      <w:r w:rsidRPr="00E277CA">
        <w:t>(02) 6141 6666</w:t>
      </w:r>
      <w:r>
        <w:t xml:space="preserve"> and ask to be redirected to the Administrative Law Section</w:t>
      </w:r>
      <w:r w:rsidRPr="00F409B4">
        <w:t>)</w:t>
      </w:r>
      <w:r w:rsidRPr="00FD274F">
        <w:t>.</w:t>
      </w:r>
    </w:p>
    <w:p w14:paraId="5490D0E1" w14:textId="77777777" w:rsidR="00E86304" w:rsidRPr="00FD274F" w:rsidRDefault="00E86304" w:rsidP="00E86304">
      <w:pPr>
        <w:pStyle w:val="Head4"/>
      </w:pPr>
      <w:r w:rsidRPr="00FD274F">
        <w:t>When instruments sunset</w:t>
      </w:r>
    </w:p>
    <w:p w14:paraId="52AA2313" w14:textId="77777777" w:rsidR="00E86304" w:rsidRPr="00FD274F" w:rsidRDefault="00E86304" w:rsidP="00E86304">
      <w:pPr>
        <w:pStyle w:val="BodyNum"/>
      </w:pPr>
      <w:r w:rsidRPr="00FD274F">
        <w:t xml:space="preserve">All legislative instruments sunset on the first 1 April or 1 October falling on or after the 10th anniversary of their </w:t>
      </w:r>
      <w:r w:rsidRPr="00C55DA3">
        <w:t>registration (</w:t>
      </w:r>
      <w:hyperlink r:id="rId543" w:history="1">
        <w:hyperlink r:id="rId544" w:history="1">
          <w:hyperlink r:id="rId545" w:history="1">
            <w:r w:rsidRPr="00C55DA3">
              <w:rPr>
                <w:rStyle w:val="Hyperlink"/>
              </w:rPr>
              <w:t>LA</w:t>
            </w:r>
          </w:hyperlink>
          <w:r w:rsidRPr="00C55DA3">
            <w:rPr>
              <w:rStyle w:val="Hyperlink"/>
            </w:rPr>
            <w:t xml:space="preserve"> </w:t>
          </w:r>
        </w:hyperlink>
      </w:hyperlink>
      <w:r w:rsidRPr="00C55DA3">
        <w:t>s 50(1)), unl</w:t>
      </w:r>
      <w:r w:rsidRPr="00FD274F">
        <w:t>ess their enabling legislation provides otherwise. To illustrate:</w:t>
      </w:r>
      <w:r w:rsidRPr="00FD274F">
        <w:br/>
      </w:r>
    </w:p>
    <w:tbl>
      <w:tblPr>
        <w:tblW w:w="0" w:type="auto"/>
        <w:tblInd w:w="108" w:type="dxa"/>
        <w:tblBorders>
          <w:top w:val="single" w:sz="4" w:space="0" w:color="auto"/>
          <w:bottom w:val="single" w:sz="2" w:space="0" w:color="auto"/>
          <w:insideH w:val="single" w:sz="4" w:space="0" w:color="auto"/>
        </w:tblBorders>
        <w:tblLayout w:type="fixed"/>
        <w:tblLook w:val="0000" w:firstRow="0" w:lastRow="0" w:firstColumn="0" w:lastColumn="0" w:noHBand="0" w:noVBand="0"/>
      </w:tblPr>
      <w:tblGrid>
        <w:gridCol w:w="3384"/>
        <w:gridCol w:w="3846"/>
      </w:tblGrid>
      <w:tr w:rsidR="00E86304" w:rsidRPr="00FD274F" w14:paraId="3CADC78C" w14:textId="77777777" w:rsidTr="00C11826">
        <w:trPr>
          <w:tblHeader/>
        </w:trPr>
        <w:tc>
          <w:tcPr>
            <w:tcW w:w="3384" w:type="dxa"/>
            <w:tcBorders>
              <w:top w:val="single" w:sz="12" w:space="0" w:color="auto"/>
              <w:bottom w:val="single" w:sz="12" w:space="0" w:color="auto"/>
            </w:tcBorders>
          </w:tcPr>
          <w:p w14:paraId="641079D9" w14:textId="77777777" w:rsidR="00E86304" w:rsidRPr="00FD274F" w:rsidRDefault="00E86304" w:rsidP="00C11826">
            <w:pPr>
              <w:pStyle w:val="TableHeading"/>
              <w:keepLines/>
            </w:pPr>
            <w:r w:rsidRPr="00FD274F">
              <w:t>Date of registration</w:t>
            </w:r>
          </w:p>
        </w:tc>
        <w:tc>
          <w:tcPr>
            <w:tcW w:w="3846" w:type="dxa"/>
            <w:tcBorders>
              <w:top w:val="single" w:sz="12" w:space="0" w:color="auto"/>
              <w:bottom w:val="single" w:sz="12" w:space="0" w:color="auto"/>
            </w:tcBorders>
          </w:tcPr>
          <w:p w14:paraId="671F73E3" w14:textId="77777777" w:rsidR="00E86304" w:rsidRPr="00FD274F" w:rsidRDefault="00E86304" w:rsidP="00C11826">
            <w:pPr>
              <w:pStyle w:val="TableHeading"/>
              <w:keepLines/>
            </w:pPr>
            <w:r>
              <w:t>Default sunsetting date</w:t>
            </w:r>
          </w:p>
        </w:tc>
      </w:tr>
      <w:tr w:rsidR="00E86304" w:rsidRPr="00FD274F" w14:paraId="793B92EF" w14:textId="77777777" w:rsidTr="00C11826">
        <w:tc>
          <w:tcPr>
            <w:tcW w:w="3384" w:type="dxa"/>
            <w:tcBorders>
              <w:top w:val="single" w:sz="12" w:space="0" w:color="auto"/>
            </w:tcBorders>
          </w:tcPr>
          <w:p w14:paraId="71CD17E7" w14:textId="77777777" w:rsidR="00E86304" w:rsidRPr="00FD274F" w:rsidRDefault="00E86304" w:rsidP="00C11826">
            <w:pPr>
              <w:pStyle w:val="Tabletext"/>
              <w:keepNext/>
              <w:keepLines/>
            </w:pPr>
            <w:r w:rsidRPr="00FD274F">
              <w:t>31 March 20</w:t>
            </w:r>
            <w:r>
              <w:t>1</w:t>
            </w:r>
            <w:r w:rsidRPr="00FD274F">
              <w:t>5</w:t>
            </w:r>
          </w:p>
        </w:tc>
        <w:tc>
          <w:tcPr>
            <w:tcW w:w="3846" w:type="dxa"/>
            <w:tcBorders>
              <w:top w:val="single" w:sz="12" w:space="0" w:color="auto"/>
            </w:tcBorders>
          </w:tcPr>
          <w:p w14:paraId="641AF526" w14:textId="77777777" w:rsidR="00E86304" w:rsidRPr="00FD274F" w:rsidRDefault="00E86304" w:rsidP="00C11826">
            <w:pPr>
              <w:pStyle w:val="Tabletext"/>
              <w:keepNext/>
              <w:keepLines/>
            </w:pPr>
            <w:r w:rsidRPr="00FD274F">
              <w:t>1 April 20</w:t>
            </w:r>
            <w:r>
              <w:t>2</w:t>
            </w:r>
            <w:r w:rsidRPr="00FD274F">
              <w:t>5</w:t>
            </w:r>
          </w:p>
        </w:tc>
      </w:tr>
      <w:tr w:rsidR="00E86304" w:rsidRPr="00FD274F" w14:paraId="7746F3AB" w14:textId="77777777" w:rsidTr="00C11826">
        <w:tc>
          <w:tcPr>
            <w:tcW w:w="3384" w:type="dxa"/>
            <w:tcBorders>
              <w:bottom w:val="single" w:sz="4" w:space="0" w:color="auto"/>
            </w:tcBorders>
          </w:tcPr>
          <w:p w14:paraId="7D80DCBF" w14:textId="77777777" w:rsidR="00E86304" w:rsidRPr="00FD274F" w:rsidRDefault="00E86304" w:rsidP="00C11826">
            <w:pPr>
              <w:pStyle w:val="Tabletext"/>
              <w:keepNext/>
              <w:keepLines/>
            </w:pPr>
            <w:r w:rsidRPr="00FD274F">
              <w:t>1 April 20</w:t>
            </w:r>
            <w:r>
              <w:t>1</w:t>
            </w:r>
            <w:r w:rsidRPr="00FD274F">
              <w:t>5</w:t>
            </w:r>
          </w:p>
        </w:tc>
        <w:tc>
          <w:tcPr>
            <w:tcW w:w="3846" w:type="dxa"/>
            <w:tcBorders>
              <w:bottom w:val="single" w:sz="4" w:space="0" w:color="auto"/>
            </w:tcBorders>
          </w:tcPr>
          <w:p w14:paraId="53A18A64" w14:textId="77777777" w:rsidR="00E86304" w:rsidRPr="00FD274F" w:rsidRDefault="00E86304" w:rsidP="00C11826">
            <w:pPr>
              <w:pStyle w:val="Tabletext"/>
              <w:keepNext/>
              <w:keepLines/>
            </w:pPr>
            <w:r w:rsidRPr="00FD274F">
              <w:t>1 April 20</w:t>
            </w:r>
            <w:r>
              <w:t>2</w:t>
            </w:r>
            <w:r w:rsidRPr="00FD274F">
              <w:t>5</w:t>
            </w:r>
          </w:p>
        </w:tc>
      </w:tr>
      <w:tr w:rsidR="00E86304" w:rsidRPr="00FD274F" w14:paraId="6605A017" w14:textId="77777777" w:rsidTr="00C11826">
        <w:tc>
          <w:tcPr>
            <w:tcW w:w="3384" w:type="dxa"/>
            <w:tcBorders>
              <w:bottom w:val="single" w:sz="12" w:space="0" w:color="auto"/>
            </w:tcBorders>
          </w:tcPr>
          <w:p w14:paraId="77FEE30D" w14:textId="77777777" w:rsidR="00E86304" w:rsidRPr="00FD274F" w:rsidRDefault="00E86304" w:rsidP="00C11826">
            <w:pPr>
              <w:pStyle w:val="Tabletext"/>
              <w:keepNext/>
              <w:keepLines/>
            </w:pPr>
            <w:r w:rsidRPr="00FD274F">
              <w:t>2 April 20</w:t>
            </w:r>
            <w:r>
              <w:t>1</w:t>
            </w:r>
            <w:r w:rsidRPr="00FD274F">
              <w:t>5</w:t>
            </w:r>
          </w:p>
        </w:tc>
        <w:tc>
          <w:tcPr>
            <w:tcW w:w="3846" w:type="dxa"/>
            <w:tcBorders>
              <w:bottom w:val="single" w:sz="12" w:space="0" w:color="auto"/>
            </w:tcBorders>
          </w:tcPr>
          <w:p w14:paraId="08595459" w14:textId="77777777" w:rsidR="00E86304" w:rsidRPr="00FD274F" w:rsidRDefault="00E86304" w:rsidP="00C11826">
            <w:pPr>
              <w:pStyle w:val="Tabletext"/>
              <w:keepNext/>
              <w:keepLines/>
            </w:pPr>
            <w:r w:rsidRPr="00FD274F">
              <w:t>1 October 20</w:t>
            </w:r>
            <w:r>
              <w:t>2</w:t>
            </w:r>
            <w:r w:rsidRPr="00FD274F">
              <w:t>5</w:t>
            </w:r>
          </w:p>
        </w:tc>
      </w:tr>
    </w:tbl>
    <w:p w14:paraId="00DB7052" w14:textId="77777777" w:rsidR="00E86304" w:rsidRPr="00FD274F" w:rsidRDefault="00E86304" w:rsidP="00E86304">
      <w:pPr>
        <w:pStyle w:val="Head4"/>
      </w:pPr>
      <w:r>
        <w:t>A</w:t>
      </w:r>
      <w:r w:rsidRPr="00FD274F">
        <w:t>dvance notice of sunsetting</w:t>
      </w:r>
    </w:p>
    <w:p w14:paraId="7D70A4B8" w14:textId="77777777" w:rsidR="00E86304" w:rsidRPr="00FD274F" w:rsidRDefault="00E86304" w:rsidP="00E86304">
      <w:pPr>
        <w:pStyle w:val="BodyNum"/>
      </w:pPr>
      <w:r w:rsidRPr="00FD274F">
        <w:t>The Attorney</w:t>
      </w:r>
      <w:r>
        <w:noBreakHyphen/>
      </w:r>
      <w:r w:rsidRPr="00FD274F">
        <w:t xml:space="preserve">General is required to table a list of all the instruments due to sunset on a given sunset date. The list </w:t>
      </w:r>
      <w:r w:rsidRPr="00C55DA3">
        <w:t>must be tabled in each House of the Parliament on the first sitting day within 18 months before that date (</w:t>
      </w:r>
      <w:hyperlink r:id="rId546" w:history="1">
        <w:hyperlink r:id="rId547" w:history="1">
          <w:hyperlink r:id="rId548" w:history="1">
            <w:hyperlink r:id="rId549" w:history="1">
              <w:r w:rsidRPr="00C55DA3">
                <w:rPr>
                  <w:rStyle w:val="Hyperlink"/>
                </w:rPr>
                <w:t>LA</w:t>
              </w:r>
            </w:hyperlink>
            <w:r w:rsidRPr="00C55DA3">
              <w:rPr>
                <w:rStyle w:val="Hyperlink"/>
              </w:rPr>
              <w:t xml:space="preserve"> </w:t>
            </w:r>
          </w:hyperlink>
        </w:hyperlink>
      </w:hyperlink>
      <w:r w:rsidRPr="00C55DA3">
        <w:t>s 52). Th</w:t>
      </w:r>
      <w:r w:rsidRPr="00FD274F">
        <w:t xml:space="preserve">e exact date of tabling will vary, but some of </w:t>
      </w:r>
      <w:r>
        <w:t>the key dates are as follows:</w:t>
      </w:r>
      <w:r>
        <w:br/>
      </w:r>
    </w:p>
    <w:tbl>
      <w:tblPr>
        <w:tblW w:w="7230" w:type="dxa"/>
        <w:tblInd w:w="108" w:type="dxa"/>
        <w:tblBorders>
          <w:top w:val="single" w:sz="4" w:space="0" w:color="auto"/>
          <w:bottom w:val="single" w:sz="2" w:space="0" w:color="auto"/>
          <w:insideH w:val="single" w:sz="4" w:space="0" w:color="auto"/>
        </w:tblBorders>
        <w:tblLayout w:type="fixed"/>
        <w:tblLook w:val="0000" w:firstRow="0" w:lastRow="0" w:firstColumn="0" w:lastColumn="0" w:noHBand="0" w:noVBand="0"/>
      </w:tblPr>
      <w:tblGrid>
        <w:gridCol w:w="3384"/>
        <w:gridCol w:w="3846"/>
      </w:tblGrid>
      <w:tr w:rsidR="00E86304" w:rsidRPr="00FD274F" w14:paraId="5988B2E5" w14:textId="77777777" w:rsidTr="00C11826">
        <w:trPr>
          <w:tblHeader/>
        </w:trPr>
        <w:tc>
          <w:tcPr>
            <w:tcW w:w="3384" w:type="dxa"/>
            <w:tcBorders>
              <w:top w:val="single" w:sz="12" w:space="0" w:color="auto"/>
              <w:bottom w:val="single" w:sz="12" w:space="0" w:color="auto"/>
            </w:tcBorders>
          </w:tcPr>
          <w:p w14:paraId="656C2A1E" w14:textId="77777777" w:rsidR="00E86304" w:rsidRPr="00FD274F" w:rsidRDefault="00E86304" w:rsidP="00C11826">
            <w:pPr>
              <w:pStyle w:val="TableHeading"/>
            </w:pPr>
            <w:r w:rsidRPr="00FD274F">
              <w:t>Sunsetting date</w:t>
            </w:r>
          </w:p>
        </w:tc>
        <w:tc>
          <w:tcPr>
            <w:tcW w:w="3846" w:type="dxa"/>
            <w:tcBorders>
              <w:top w:val="single" w:sz="12" w:space="0" w:color="auto"/>
              <w:bottom w:val="single" w:sz="12" w:space="0" w:color="auto"/>
            </w:tcBorders>
          </w:tcPr>
          <w:p w14:paraId="0198AF46" w14:textId="77777777" w:rsidR="00E86304" w:rsidRPr="00FD274F" w:rsidRDefault="00E86304" w:rsidP="00C11826">
            <w:pPr>
              <w:pStyle w:val="TableHeading"/>
            </w:pPr>
            <w:r w:rsidRPr="00FD274F">
              <w:t>List tabling date</w:t>
            </w:r>
          </w:p>
        </w:tc>
      </w:tr>
      <w:tr w:rsidR="00E86304" w:rsidRPr="00FD274F" w14:paraId="5C2AFD64" w14:textId="77777777" w:rsidTr="00C11826">
        <w:tc>
          <w:tcPr>
            <w:tcW w:w="3384" w:type="dxa"/>
            <w:tcBorders>
              <w:top w:val="single" w:sz="12" w:space="0" w:color="auto"/>
            </w:tcBorders>
          </w:tcPr>
          <w:p w14:paraId="6C43EA4F" w14:textId="77777777" w:rsidR="00E86304" w:rsidRPr="00FD274F" w:rsidRDefault="00E86304" w:rsidP="00C11826">
            <w:pPr>
              <w:pStyle w:val="Tabletext"/>
            </w:pPr>
            <w:r w:rsidRPr="00FD274F">
              <w:t>1 October 20</w:t>
            </w:r>
            <w:r>
              <w:t>2</w:t>
            </w:r>
            <w:r w:rsidRPr="00FD274F">
              <w:t>7</w:t>
            </w:r>
          </w:p>
        </w:tc>
        <w:tc>
          <w:tcPr>
            <w:tcW w:w="3846" w:type="dxa"/>
            <w:tcBorders>
              <w:top w:val="single" w:sz="12" w:space="0" w:color="auto"/>
            </w:tcBorders>
          </w:tcPr>
          <w:p w14:paraId="0480CC51" w14:textId="77777777" w:rsidR="00E86304" w:rsidRPr="00FD274F" w:rsidRDefault="00E86304" w:rsidP="00C11826">
            <w:pPr>
              <w:pStyle w:val="Tabletext"/>
            </w:pPr>
            <w:r w:rsidRPr="00FD274F">
              <w:t>First sitting day on or after 1 April 20</w:t>
            </w:r>
            <w:r>
              <w:t>2</w:t>
            </w:r>
            <w:r w:rsidRPr="00FD274F">
              <w:t>6</w:t>
            </w:r>
          </w:p>
        </w:tc>
      </w:tr>
      <w:tr w:rsidR="00E86304" w:rsidRPr="00FD274F" w14:paraId="06E94E94" w14:textId="77777777" w:rsidTr="00C11826">
        <w:tc>
          <w:tcPr>
            <w:tcW w:w="3384" w:type="dxa"/>
            <w:tcBorders>
              <w:bottom w:val="single" w:sz="4" w:space="0" w:color="auto"/>
            </w:tcBorders>
          </w:tcPr>
          <w:p w14:paraId="7847C77B" w14:textId="77777777" w:rsidR="00E86304" w:rsidRPr="00FD274F" w:rsidRDefault="00E86304" w:rsidP="00C11826">
            <w:pPr>
              <w:pStyle w:val="Tabletext"/>
            </w:pPr>
            <w:r w:rsidRPr="00FD274F">
              <w:t>1 April 20</w:t>
            </w:r>
            <w:r>
              <w:t>2</w:t>
            </w:r>
            <w:r w:rsidRPr="00FD274F">
              <w:t>8</w:t>
            </w:r>
          </w:p>
        </w:tc>
        <w:tc>
          <w:tcPr>
            <w:tcW w:w="3846" w:type="dxa"/>
            <w:tcBorders>
              <w:bottom w:val="single" w:sz="4" w:space="0" w:color="auto"/>
            </w:tcBorders>
          </w:tcPr>
          <w:p w14:paraId="74BCB7EF" w14:textId="77777777" w:rsidR="00E86304" w:rsidRPr="00FD274F" w:rsidRDefault="00E86304" w:rsidP="00C11826">
            <w:pPr>
              <w:pStyle w:val="Tabletext"/>
            </w:pPr>
            <w:r w:rsidRPr="00FD274F">
              <w:t>First sitting day on or after 1 October 20</w:t>
            </w:r>
            <w:r>
              <w:t>2</w:t>
            </w:r>
            <w:r w:rsidRPr="00FD274F">
              <w:t>6</w:t>
            </w:r>
          </w:p>
        </w:tc>
      </w:tr>
      <w:tr w:rsidR="00E86304" w:rsidRPr="00FD274F" w14:paraId="184F4086" w14:textId="77777777" w:rsidTr="00C11826">
        <w:tc>
          <w:tcPr>
            <w:tcW w:w="3384" w:type="dxa"/>
            <w:tcBorders>
              <w:bottom w:val="single" w:sz="12" w:space="0" w:color="auto"/>
            </w:tcBorders>
          </w:tcPr>
          <w:p w14:paraId="3F7835E5" w14:textId="77777777" w:rsidR="00E86304" w:rsidRPr="00FD274F" w:rsidRDefault="00E86304" w:rsidP="00C11826">
            <w:pPr>
              <w:pStyle w:val="Tabletext"/>
            </w:pPr>
            <w:r w:rsidRPr="00FD274F">
              <w:t>1 October 20</w:t>
            </w:r>
            <w:r>
              <w:t>2</w:t>
            </w:r>
            <w:r w:rsidRPr="00FD274F">
              <w:t>8</w:t>
            </w:r>
          </w:p>
        </w:tc>
        <w:tc>
          <w:tcPr>
            <w:tcW w:w="3846" w:type="dxa"/>
            <w:tcBorders>
              <w:bottom w:val="single" w:sz="12" w:space="0" w:color="auto"/>
            </w:tcBorders>
          </w:tcPr>
          <w:p w14:paraId="01B85987" w14:textId="77777777" w:rsidR="00E86304" w:rsidRPr="00FD274F" w:rsidRDefault="00E86304" w:rsidP="00C11826">
            <w:pPr>
              <w:pStyle w:val="Tabletext"/>
            </w:pPr>
            <w:r w:rsidRPr="00FD274F">
              <w:t>First sitting day on or after 1 April 20</w:t>
            </w:r>
            <w:r>
              <w:t>2</w:t>
            </w:r>
            <w:r w:rsidRPr="00FD274F">
              <w:t>7</w:t>
            </w:r>
          </w:p>
        </w:tc>
      </w:tr>
    </w:tbl>
    <w:p w14:paraId="336B1C2A" w14:textId="77777777" w:rsidR="00E86304" w:rsidRDefault="00E86304" w:rsidP="00E86304">
      <w:pPr>
        <w:pStyle w:val="BodyNum"/>
        <w:keepLines/>
      </w:pPr>
      <w:r w:rsidRPr="00FD274F">
        <w:t>Tabled lists are available on the Register</w:t>
      </w:r>
      <w:r w:rsidRPr="00FD274F">
        <w:rPr>
          <w:rStyle w:val="FootnoteReference"/>
        </w:rPr>
        <w:footnoteReference w:id="43"/>
      </w:r>
      <w:r w:rsidRPr="00FD274F">
        <w:t>. Newly tabled lists are available on the website as soon as possible after tabling in accordance with the current Guidelines for the Presentation of Documents to the Parliamen</w:t>
      </w:r>
      <w:r w:rsidRPr="00FD274F">
        <w:rPr>
          <w:color w:val="000000" w:themeColor="text1"/>
        </w:rPr>
        <w:t>t</w:t>
      </w:r>
      <w:r w:rsidRPr="00FD274F">
        <w:rPr>
          <w:rStyle w:val="FootnoteReference"/>
          <w:color w:val="000000" w:themeColor="text1"/>
        </w:rPr>
        <w:footnoteReference w:id="44"/>
      </w:r>
      <w:r w:rsidRPr="00FD274F">
        <w:rPr>
          <w:color w:val="000000" w:themeColor="text1"/>
        </w:rPr>
        <w:t>. I</w:t>
      </w:r>
      <w:r w:rsidRPr="00FD274F">
        <w:t xml:space="preserve">n accordance </w:t>
      </w:r>
      <w:r w:rsidRPr="00C55DA3">
        <w:t>with subsection 52(3)</w:t>
      </w:r>
      <w:r w:rsidRPr="00FD274F">
        <w:t xml:space="preserve"> of the </w:t>
      </w:r>
      <w:hyperlink r:id="rId550" w:history="1">
        <w:r w:rsidRPr="00FD274F">
          <w:rPr>
            <w:rStyle w:val="Hyperlink"/>
          </w:rPr>
          <w:t>LA</w:t>
        </w:r>
      </w:hyperlink>
      <w:r w:rsidRPr="00FD274F">
        <w:rPr>
          <w:rStyle w:val="Hyperlink"/>
        </w:rPr>
        <w:t>,</w:t>
      </w:r>
      <w:r w:rsidRPr="00FD274F">
        <w:t xml:space="preserve"> </w:t>
      </w:r>
      <w:proofErr w:type="spellStart"/>
      <w:r w:rsidRPr="00FD274F">
        <w:t>OPC</w:t>
      </w:r>
      <w:proofErr w:type="spellEnd"/>
      <w:r w:rsidRPr="00FD274F">
        <w:t xml:space="preserve"> also provides the tabled list to each Departmental Secretary for distribution to each rule</w:t>
      </w:r>
      <w:r>
        <w:noBreakHyphen/>
      </w:r>
      <w:r w:rsidRPr="00FD274F">
        <w:t>maker within the portfolio as soon as practicable after the list is tabled.</w:t>
      </w:r>
    </w:p>
    <w:p w14:paraId="2F244CAD" w14:textId="77777777" w:rsidR="00E86304" w:rsidRPr="00FD274F" w:rsidRDefault="00E86304" w:rsidP="00E86304">
      <w:pPr>
        <w:pStyle w:val="BodyNum"/>
      </w:pPr>
      <w:proofErr w:type="spellStart"/>
      <w:r>
        <w:t>OPC</w:t>
      </w:r>
      <w:proofErr w:type="spellEnd"/>
      <w:r>
        <w:t xml:space="preserve"> also provides a list of instruments due to sunset in 6 and 12 months to all agency Legislation Liaison Officers. This list is not tabled in each House of the Parliament but is provided for information only. This is so agencies can take into account any changes that have occurred since lists of instruments due to sunset in 18 months were tabled in each House of Parliament and to assist agencies in managing their sunsetting instruments to ensure the timely remaking or repeal of sunsetting instruments.</w:t>
      </w:r>
    </w:p>
    <w:p w14:paraId="1E9E6563" w14:textId="77777777" w:rsidR="00E86304" w:rsidRPr="00FD274F" w:rsidRDefault="00E86304" w:rsidP="00E86304">
      <w:pPr>
        <w:pStyle w:val="BodyNum"/>
      </w:pPr>
      <w:r w:rsidRPr="00FD274F">
        <w:t>Up</w:t>
      </w:r>
      <w:r>
        <w:noBreakHyphen/>
      </w:r>
      <w:r w:rsidRPr="00FD274F">
        <w:t>to</w:t>
      </w:r>
      <w:r>
        <w:noBreakHyphen/>
      </w:r>
      <w:r w:rsidRPr="00FD274F">
        <w:t>date information on all t</w:t>
      </w:r>
      <w:r w:rsidRPr="00FD274F">
        <w:rPr>
          <w:szCs w:val="24"/>
        </w:rPr>
        <w:t>he instruments due to sunset within 18 months</w:t>
      </w:r>
      <w:r w:rsidRPr="00FD274F">
        <w:rPr>
          <w:rStyle w:val="FootnoteReference"/>
          <w:szCs w:val="24"/>
        </w:rPr>
        <w:footnoteReference w:id="45"/>
      </w:r>
      <w:r w:rsidRPr="00FD274F">
        <w:rPr>
          <w:szCs w:val="24"/>
        </w:rPr>
        <w:t xml:space="preserve"> and details of a particular instrument’s current sunset date can be obtained from the Register website. Agency</w:t>
      </w:r>
      <w:r>
        <w:rPr>
          <w:szCs w:val="24"/>
        </w:rPr>
        <w:noBreakHyphen/>
      </w:r>
      <w:r w:rsidRPr="00FD274F">
        <w:rPr>
          <w:szCs w:val="24"/>
        </w:rPr>
        <w:t xml:space="preserve">specific reports on instruments that are not yet repealed can also be </w:t>
      </w:r>
      <w:r w:rsidRPr="00FD274F">
        <w:rPr>
          <w:szCs w:val="24"/>
        </w:rPr>
        <w:lastRenderedPageBreak/>
        <w:t xml:space="preserve">accessed, customised and downloaded to Microsoft Excel through the secure </w:t>
      </w:r>
      <w:r w:rsidRPr="00F6707A">
        <w:rPr>
          <w:szCs w:val="24"/>
        </w:rPr>
        <w:t>lodgement facility</w:t>
      </w:r>
      <w:r w:rsidRPr="00FD274F">
        <w:rPr>
          <w:szCs w:val="24"/>
        </w:rPr>
        <w:t xml:space="preserve"> </w:t>
      </w:r>
      <w:hyperlink r:id="rId551" w:history="1">
        <w:r w:rsidRPr="00FD274F">
          <w:rPr>
            <w:rStyle w:val="Hyperlink"/>
            <w:szCs w:val="24"/>
            <w:lang w:eastAsia="en-US"/>
          </w:rPr>
          <w:t>https://lodge.legislation.gov.au</w:t>
        </w:r>
      </w:hyperlink>
      <w:r>
        <w:rPr>
          <w:color w:val="1F497D"/>
          <w:szCs w:val="24"/>
          <w:lang w:eastAsia="en-US"/>
        </w:rPr>
        <w:t>.</w:t>
      </w:r>
    </w:p>
    <w:p w14:paraId="3DA446F4" w14:textId="77777777" w:rsidR="00E86304" w:rsidRPr="00FD274F" w:rsidRDefault="00E86304" w:rsidP="00E86304">
      <w:pPr>
        <w:pStyle w:val="Head3"/>
      </w:pPr>
      <w:bookmarkStart w:id="185" w:name="_Toc238117582"/>
      <w:r w:rsidRPr="00FD274F">
        <w:t>What to do about sunsetting</w:t>
      </w:r>
      <w:bookmarkEnd w:id="185"/>
    </w:p>
    <w:p w14:paraId="6242DD20" w14:textId="77777777" w:rsidR="00E86304" w:rsidRDefault="00E86304" w:rsidP="00E86304">
      <w:pPr>
        <w:pStyle w:val="BodyNum"/>
      </w:pPr>
      <w:r>
        <w:t xml:space="preserve">It is essential to be actively managing sunsetting instruments early. For information in relation to timeframes to appropriately manage sunsetting instruments, see </w:t>
      </w:r>
      <w:hyperlink r:id="rId552" w:history="1">
        <w:r>
          <w:rPr>
            <w:rStyle w:val="Hyperlink"/>
          </w:rPr>
          <w:t>Instrument Drafting Guidance Note No. 1.4 Timeframes for the development of instruments (opc.gov.au)</w:t>
        </w:r>
      </w:hyperlink>
      <w:r>
        <w:t>. Early action is essential, particularly if:</w:t>
      </w:r>
    </w:p>
    <w:p w14:paraId="3A29F057" w14:textId="77777777" w:rsidR="00E86304" w:rsidRPr="00FD274F" w:rsidRDefault="00E86304" w:rsidP="00E86304">
      <w:pPr>
        <w:pStyle w:val="BodyPara"/>
      </w:pPr>
      <w:r w:rsidRPr="00FD274F">
        <w:t>a change in sunset date may be appropriate e.g. to facilitate a thematic rev</w:t>
      </w:r>
      <w:r>
        <w:t>iew of multiple instruments; or</w:t>
      </w:r>
    </w:p>
    <w:p w14:paraId="75F5F9AB" w14:textId="77777777" w:rsidR="00E86304" w:rsidRPr="00FD274F" w:rsidRDefault="00E86304" w:rsidP="00E86304">
      <w:pPr>
        <w:pStyle w:val="BodyPara"/>
      </w:pPr>
      <w:r w:rsidRPr="00FD274F">
        <w:t>an instrument’s inclusion in a tabled sunsetting list is likely to cause significant parl</w:t>
      </w:r>
      <w:r>
        <w:t>iamentary or public concern; or</w:t>
      </w:r>
    </w:p>
    <w:p w14:paraId="7877FA92" w14:textId="77777777" w:rsidR="00E86304" w:rsidRPr="00FD274F" w:rsidRDefault="00E86304" w:rsidP="00E86304">
      <w:pPr>
        <w:pStyle w:val="BodyPara"/>
      </w:pPr>
      <w:r w:rsidRPr="00FD274F">
        <w:t>a parliamentary rollover or significant policy ch</w:t>
      </w:r>
      <w:r>
        <w:t>ange is likely to be sought; or</w:t>
      </w:r>
    </w:p>
    <w:p w14:paraId="2DD4B125" w14:textId="77777777" w:rsidR="00E86304" w:rsidRPr="00FD274F" w:rsidRDefault="00E86304" w:rsidP="00E86304">
      <w:pPr>
        <w:pStyle w:val="BodyPara"/>
      </w:pPr>
      <w:r w:rsidRPr="00FD274F">
        <w:t>an agency is responsible for a large number of sunsetting instruments.</w:t>
      </w:r>
    </w:p>
    <w:p w14:paraId="539CA6E4" w14:textId="77777777" w:rsidR="00E86304" w:rsidRDefault="00E86304" w:rsidP="00E86304">
      <w:pPr>
        <w:pStyle w:val="BodyNum"/>
      </w:pPr>
      <w:r>
        <w:t>Best practice is for agencies to review all instruments 5 years after they have been made to ensure sufficient time to deal with sunsetting instruments.</w:t>
      </w:r>
    </w:p>
    <w:p w14:paraId="3BBB597C" w14:textId="77777777" w:rsidR="00E86304" w:rsidRPr="00FD274F" w:rsidRDefault="00E86304" w:rsidP="00E86304">
      <w:pPr>
        <w:pStyle w:val="BodyNum"/>
      </w:pPr>
      <w:r w:rsidRPr="00FD274F">
        <w:t>Many instruments are “one</w:t>
      </w:r>
      <w:r>
        <w:noBreakHyphen/>
      </w:r>
      <w:r w:rsidRPr="00FD274F">
        <w:t>off” instruments that have been created for a particular event or period, or for the sole purpose of doing something to another instrument (e.g. commencing, amending or repealing the other instrument). These instruments are usually easy to identify and may be subject to automatic repeal. If not, they should be repealed once they have done their job. For further guidance on repeal proce</w:t>
      </w:r>
      <w:r w:rsidRPr="008C5E45">
        <w:t xml:space="preserve">sses, see paragraph </w:t>
      </w:r>
      <w:r w:rsidRPr="00C55DA3">
        <w:fldChar w:fldCharType="begin"/>
      </w:r>
      <w:r w:rsidRPr="008C5E45">
        <w:instrText xml:space="preserve"> REF _Ref367446866 \r \h  \* MERGEFORMAT </w:instrText>
      </w:r>
      <w:r w:rsidRPr="00C55DA3">
        <w:fldChar w:fldCharType="separate"/>
      </w:r>
      <w:r>
        <w:t>205</w:t>
      </w:r>
      <w:r w:rsidRPr="00C55DA3">
        <w:fldChar w:fldCharType="end"/>
      </w:r>
      <w:r w:rsidRPr="008C5E45">
        <w:t>.</w:t>
      </w:r>
    </w:p>
    <w:p w14:paraId="1D64D007" w14:textId="77777777" w:rsidR="00E86304" w:rsidRPr="00FD274F" w:rsidRDefault="00E86304" w:rsidP="00E86304">
      <w:pPr>
        <w:pStyle w:val="BodyNum"/>
        <w:keepLines/>
      </w:pPr>
      <w:bookmarkStart w:id="186" w:name="_Ref378066686"/>
      <w:r w:rsidRPr="00FD274F">
        <w:t>If an instrument is still required, or if there is doubt about whether it is still required, the rule</w:t>
      </w:r>
      <w:r>
        <w:noBreakHyphen/>
      </w:r>
      <w:r w:rsidRPr="00FD274F">
        <w:t>making agency should undertake a more in</w:t>
      </w:r>
      <w:r>
        <w:noBreakHyphen/>
      </w:r>
      <w:r w:rsidRPr="00FD274F">
        <w:t xml:space="preserve">depth review of whether the instrument is “fit for purpose”. For further guidance on how to prepare for and review sunsetting instruments, </w:t>
      </w:r>
      <w:r>
        <w:t xml:space="preserve">see the Sunsetting Checklist in Appendix A of this Handbook, </w:t>
      </w:r>
      <w:r w:rsidRPr="00FD274F">
        <w:t>the AGD Guide to Managing Sunsetting of Legislative Instruments</w:t>
      </w:r>
      <w:r w:rsidRPr="00FD274F">
        <w:rPr>
          <w:rStyle w:val="FootnoteReference"/>
        </w:rPr>
        <w:footnoteReference w:id="46"/>
      </w:r>
      <w:r w:rsidRPr="00FD274F">
        <w:t xml:space="preserve"> or contact AGD (</w:t>
      </w:r>
      <w:r>
        <w:t xml:space="preserve">email </w:t>
      </w:r>
      <w:hyperlink r:id="rId553" w:history="1">
        <w:r w:rsidRPr="00FD274F">
          <w:rPr>
            <w:rStyle w:val="Hyperlink"/>
          </w:rPr>
          <w:t>sunsetting@ag.gov.au</w:t>
        </w:r>
      </w:hyperlink>
      <w:r w:rsidRPr="00FD274F">
        <w:t xml:space="preserve"> or </w:t>
      </w:r>
      <w:r>
        <w:t xml:space="preserve">call the AGD Switchboard on </w:t>
      </w:r>
      <w:r w:rsidRPr="00E277CA">
        <w:t>(02) 6141 6666</w:t>
      </w:r>
      <w:r>
        <w:t xml:space="preserve"> and ask to be redirected to the Administrative Law Section</w:t>
      </w:r>
      <w:r w:rsidRPr="00F409B4">
        <w:t>)</w:t>
      </w:r>
      <w:r w:rsidRPr="00FD274F">
        <w:t>.</w:t>
      </w:r>
      <w:bookmarkEnd w:id="186"/>
    </w:p>
    <w:p w14:paraId="3F8D5830" w14:textId="77777777" w:rsidR="00E86304" w:rsidRPr="00FD274F" w:rsidRDefault="00E86304" w:rsidP="00E86304">
      <w:pPr>
        <w:pStyle w:val="BodyNum"/>
      </w:pPr>
      <w:r w:rsidRPr="00FD274F">
        <w:t xml:space="preserve">Agencies planning reviews should also have regard to the Australian Government’s </w:t>
      </w:r>
      <w:r>
        <w:t>Impact Analysis Framework</w:t>
      </w:r>
      <w:r w:rsidRPr="00FD274F">
        <w:t xml:space="preserve">. For further guidance, please contact </w:t>
      </w:r>
      <w:proofErr w:type="spellStart"/>
      <w:r>
        <w:t>OIA</w:t>
      </w:r>
      <w:proofErr w:type="spellEnd"/>
      <w:r w:rsidRPr="00FD274F">
        <w:t xml:space="preserve"> (</w:t>
      </w:r>
      <w:hyperlink r:id="rId554" w:history="1">
        <w:r w:rsidRPr="00FD274F">
          <w:rPr>
            <w:rStyle w:val="Hyperlink"/>
          </w:rPr>
          <w:t>helpdesk</w:t>
        </w:r>
        <w:r>
          <w:rPr>
            <w:rStyle w:val="Hyperlink"/>
          </w:rPr>
          <w:noBreakHyphen/>
          <w:t>OIA</w:t>
        </w:r>
        <w:r w:rsidRPr="00FD274F">
          <w:rPr>
            <w:rStyle w:val="Hyperlink"/>
          </w:rPr>
          <w:t>@pmc.gov.au</w:t>
        </w:r>
      </w:hyperlink>
      <w:r w:rsidRPr="00FD274F">
        <w:rPr>
          <w:rStyle w:val="Hyperlink"/>
        </w:rPr>
        <w:t xml:space="preserve"> </w:t>
      </w:r>
      <w:r w:rsidRPr="00FD274F">
        <w:t>or (02) 6271 6270).</w:t>
      </w:r>
    </w:p>
    <w:p w14:paraId="2C7CF365" w14:textId="77777777" w:rsidR="00E86304" w:rsidRPr="008C5E45" w:rsidRDefault="00E86304" w:rsidP="00E86304">
      <w:pPr>
        <w:pStyle w:val="BodyNum"/>
      </w:pPr>
      <w:r w:rsidRPr="00FD274F">
        <w:t xml:space="preserve">An instrument that is “fit for purpose” can be considered for a parliamentary rollover </w:t>
      </w:r>
      <w:r w:rsidRPr="008C5E45">
        <w:t xml:space="preserve">(see paragraphs </w:t>
      </w:r>
      <w:r w:rsidRPr="00C55DA3">
        <w:fldChar w:fldCharType="begin"/>
      </w:r>
      <w:r w:rsidRPr="008C5E45">
        <w:instrText xml:space="preserve"> REF _Ref367447300 \r \h </w:instrText>
      </w:r>
      <w:r>
        <w:rPr>
          <w:highlight w:val="yellow"/>
        </w:rPr>
        <w:instrText xml:space="preserve"> \* MERGEFORMAT </w:instrText>
      </w:r>
      <w:r w:rsidRPr="00C55DA3">
        <w:fldChar w:fldCharType="separate"/>
      </w:r>
      <w:r>
        <w:t>345</w:t>
      </w:r>
      <w:r w:rsidRPr="00C55DA3">
        <w:fldChar w:fldCharType="end"/>
      </w:r>
      <w:r w:rsidRPr="008C5E45">
        <w:t xml:space="preserve"> to </w:t>
      </w:r>
      <w:r w:rsidRPr="00C55DA3">
        <w:fldChar w:fldCharType="begin"/>
      </w:r>
      <w:r w:rsidRPr="008C5E45">
        <w:instrText xml:space="preserve"> REF _Ref29484918 \r \h </w:instrText>
      </w:r>
      <w:r>
        <w:rPr>
          <w:highlight w:val="yellow"/>
        </w:rPr>
        <w:instrText xml:space="preserve"> \* MERGEFORMAT </w:instrText>
      </w:r>
      <w:r w:rsidRPr="00C55DA3">
        <w:fldChar w:fldCharType="separate"/>
      </w:r>
      <w:r>
        <w:t>352</w:t>
      </w:r>
      <w:r w:rsidRPr="00C55DA3">
        <w:fldChar w:fldCharType="end"/>
      </w:r>
      <w:r w:rsidRPr="008C5E45">
        <w:t>).</w:t>
      </w:r>
      <w:r w:rsidRPr="00FD274F">
        <w:t xml:space="preserve"> Otherwise, the instrument should be remade (</w:t>
      </w:r>
      <w:r w:rsidRPr="008C5E45">
        <w:t xml:space="preserve">see paragraphs </w:t>
      </w:r>
      <w:r w:rsidRPr="00C55DA3">
        <w:fldChar w:fldCharType="begin"/>
      </w:r>
      <w:r w:rsidRPr="008C5E45">
        <w:instrText xml:space="preserve"> REF _Ref29484941 \r \h </w:instrText>
      </w:r>
      <w:r>
        <w:rPr>
          <w:highlight w:val="yellow"/>
        </w:rPr>
        <w:instrText xml:space="preserve"> \* MERGEFORMAT </w:instrText>
      </w:r>
      <w:r w:rsidRPr="00C55DA3">
        <w:fldChar w:fldCharType="separate"/>
      </w:r>
      <w:r>
        <w:t>353</w:t>
      </w:r>
      <w:r w:rsidRPr="00C55DA3">
        <w:fldChar w:fldCharType="end"/>
      </w:r>
      <w:r w:rsidRPr="008C5E45">
        <w:t xml:space="preserve"> to </w:t>
      </w:r>
      <w:r w:rsidRPr="00C55DA3">
        <w:fldChar w:fldCharType="begin"/>
      </w:r>
      <w:r w:rsidRPr="008C5E45">
        <w:instrText xml:space="preserve"> REF _Ref378080360 \r \h </w:instrText>
      </w:r>
      <w:r>
        <w:rPr>
          <w:highlight w:val="yellow"/>
        </w:rPr>
        <w:instrText xml:space="preserve"> \* MERGEFORMAT </w:instrText>
      </w:r>
      <w:r w:rsidRPr="00C55DA3">
        <w:fldChar w:fldCharType="separate"/>
      </w:r>
      <w:r>
        <w:t>366</w:t>
      </w:r>
      <w:r w:rsidRPr="00C55DA3">
        <w:fldChar w:fldCharType="end"/>
      </w:r>
      <w:r w:rsidRPr="008C5E45">
        <w:t>).</w:t>
      </w:r>
    </w:p>
    <w:p w14:paraId="509227E2" w14:textId="77777777" w:rsidR="00E86304" w:rsidRPr="00FD274F" w:rsidRDefault="00E86304" w:rsidP="00E86304">
      <w:pPr>
        <w:pStyle w:val="Head3"/>
      </w:pPr>
      <w:bookmarkStart w:id="187" w:name="_Toc238117583"/>
      <w:r w:rsidRPr="00FD274F">
        <w:lastRenderedPageBreak/>
        <w:t>Scope to negotiate minor changes in sunset date</w:t>
      </w:r>
      <w:bookmarkEnd w:id="187"/>
    </w:p>
    <w:p w14:paraId="1210D9CD" w14:textId="77777777" w:rsidR="00E86304" w:rsidRPr="00FD274F" w:rsidRDefault="00E86304" w:rsidP="00E86304">
      <w:pPr>
        <w:pStyle w:val="BodyNum"/>
      </w:pPr>
      <w:bookmarkStart w:id="188" w:name="_Ref384350103"/>
      <w:r w:rsidRPr="00FD274F">
        <w:t>Th</w:t>
      </w:r>
      <w:r w:rsidRPr="00C55DA3">
        <w:t xml:space="preserve">e </w:t>
      </w:r>
      <w:hyperlink r:id="rId555" w:history="1">
        <w:r w:rsidRPr="00C55DA3">
          <w:rPr>
            <w:rStyle w:val="Hyperlink"/>
          </w:rPr>
          <w:t>LA</w:t>
        </w:r>
      </w:hyperlink>
      <w:r w:rsidRPr="00C55DA3">
        <w:t xml:space="preserve"> re</w:t>
      </w:r>
      <w:r w:rsidRPr="00FD274F">
        <w:t>cognises that minor changes to default sunset dates may be appropriate in certain circumstances. It authorises the Attorney</w:t>
      </w:r>
      <w:r>
        <w:noBreakHyphen/>
      </w:r>
      <w:r w:rsidRPr="00FD274F">
        <w:t>General to:</w:t>
      </w:r>
      <w:bookmarkEnd w:id="188"/>
    </w:p>
    <w:p w14:paraId="2B805900" w14:textId="77777777" w:rsidR="00E86304" w:rsidRPr="00FD274F" w:rsidRDefault="00E86304" w:rsidP="00E86304">
      <w:pPr>
        <w:pStyle w:val="BodyPara"/>
      </w:pPr>
      <w:r w:rsidRPr="00FD274F">
        <w:t xml:space="preserve">align the sunset dates for related instruments to </w:t>
      </w:r>
      <w:r>
        <w:t>facilitate thematic review; and</w:t>
      </w:r>
    </w:p>
    <w:p w14:paraId="75E3326F" w14:textId="77777777" w:rsidR="00E86304" w:rsidRPr="00FD274F" w:rsidRDefault="00E86304" w:rsidP="00E86304">
      <w:pPr>
        <w:pStyle w:val="BodyPara"/>
      </w:pPr>
      <w:r w:rsidRPr="00FD274F">
        <w:t xml:space="preserve">defer sunsetting by up to </w:t>
      </w:r>
      <w:r>
        <w:t>24</w:t>
      </w:r>
      <w:r w:rsidRPr="00FD274F">
        <w:t xml:space="preserve"> months if statutory conditions are met.</w:t>
      </w:r>
    </w:p>
    <w:p w14:paraId="2812B992" w14:textId="77777777" w:rsidR="00E86304" w:rsidRPr="00FD274F" w:rsidRDefault="00E86304" w:rsidP="00E86304">
      <w:pPr>
        <w:pStyle w:val="Head4"/>
      </w:pPr>
      <w:r w:rsidRPr="00FD274F">
        <w:t>Declaration of thematic review under section 51A of the LA</w:t>
      </w:r>
    </w:p>
    <w:p w14:paraId="7165E995" w14:textId="77777777" w:rsidR="00E86304" w:rsidRPr="00FD274F" w:rsidRDefault="00E86304" w:rsidP="00E86304">
      <w:pPr>
        <w:pStyle w:val="BodyNum"/>
      </w:pPr>
      <w:r>
        <w:t>I</w:t>
      </w:r>
      <w:r w:rsidRPr="00FD274F">
        <w:t>t is possible to align the sunset dates for a group of instruments to facilitate a thematic review. This process may involve bringing forward some dates, and pushing others back by up to 5 years. It is not limited to instruments made under a single Act or administered by a single portfolio—instruments can be grouped on some other basis, such as a particular treaty or industry.</w:t>
      </w:r>
    </w:p>
    <w:p w14:paraId="6DBEE745" w14:textId="77777777" w:rsidR="00E86304" w:rsidRPr="00FD274F" w:rsidRDefault="00E86304" w:rsidP="00E86304">
      <w:pPr>
        <w:pStyle w:val="BodyNum"/>
      </w:pPr>
      <w:r w:rsidRPr="00FD274F">
        <w:t>Safeguards have been enacted to ensure that this mechanism is used to support and not undermine the purpose of sunsetting. Among other thi</w:t>
      </w:r>
      <w:r w:rsidRPr="00C55DA3">
        <w:t xml:space="preserve">ngs, the </w:t>
      </w:r>
      <w:hyperlink r:id="rId556" w:history="1">
        <w:r w:rsidRPr="00C55DA3">
          <w:rPr>
            <w:rStyle w:val="Hyperlink"/>
          </w:rPr>
          <w:t>LA</w:t>
        </w:r>
      </w:hyperlink>
      <w:r w:rsidRPr="00C55DA3">
        <w:t xml:space="preserve"> requ</w:t>
      </w:r>
      <w:r w:rsidRPr="00FD274F">
        <w:t>ires:</w:t>
      </w:r>
    </w:p>
    <w:p w14:paraId="4FBB42DE" w14:textId="77777777" w:rsidR="00E86304" w:rsidRPr="00DD1ADC" w:rsidRDefault="00E86304" w:rsidP="00E86304">
      <w:pPr>
        <w:pStyle w:val="BodyPara"/>
      </w:pPr>
      <w:r w:rsidRPr="00FD274F">
        <w:t>the responsible rule</w:t>
      </w:r>
      <w:r>
        <w:noBreakHyphen/>
      </w:r>
      <w:r w:rsidRPr="00FD274F">
        <w:t>maker to apply to the Attorney</w:t>
      </w:r>
      <w:r>
        <w:noBreakHyphen/>
      </w:r>
      <w:r w:rsidRPr="00FD274F">
        <w:t>General (</w:t>
      </w:r>
      <w:hyperlink r:id="rId557" w:history="1">
        <w:hyperlink r:id="rId558" w:history="1">
          <w:hyperlink r:id="rId559" w:history="1">
            <w:hyperlink r:id="rId560" w:history="1">
              <w:r w:rsidRPr="00DD1ADC">
                <w:rPr>
                  <w:rStyle w:val="Hyperlink"/>
                </w:rPr>
                <w:t>LA</w:t>
              </w:r>
            </w:hyperlink>
            <w:r w:rsidRPr="00DD1ADC">
              <w:rPr>
                <w:rStyle w:val="Hyperlink"/>
              </w:rPr>
              <w:t xml:space="preserve"> </w:t>
            </w:r>
          </w:hyperlink>
        </w:hyperlink>
      </w:hyperlink>
      <w:r w:rsidRPr="00DD1ADC">
        <w:t>s 51A(1)); and</w:t>
      </w:r>
    </w:p>
    <w:p w14:paraId="5E0121C7" w14:textId="77777777" w:rsidR="00E86304" w:rsidRDefault="00E86304" w:rsidP="00E86304">
      <w:pPr>
        <w:pStyle w:val="BodyPara"/>
      </w:pPr>
      <w:r w:rsidRPr="00FD274F">
        <w:t>the Attorney</w:t>
      </w:r>
      <w:r>
        <w:noBreakHyphen/>
      </w:r>
      <w:r w:rsidRPr="00FD274F">
        <w:t>General to be satisfied that all the instruments to be reviewed are or will be subject to a single revi</w:t>
      </w:r>
      <w:r w:rsidRPr="00DD1ADC">
        <w:t>ew (</w:t>
      </w:r>
      <w:hyperlink r:id="rId561" w:history="1">
        <w:hyperlink r:id="rId562" w:history="1">
          <w:hyperlink r:id="rId563" w:history="1">
            <w:hyperlink r:id="rId564" w:history="1">
              <w:r w:rsidRPr="00DD1ADC">
                <w:rPr>
                  <w:rStyle w:val="Hyperlink"/>
                </w:rPr>
                <w:t>LA</w:t>
              </w:r>
            </w:hyperlink>
            <w:r w:rsidRPr="00DD1ADC">
              <w:rPr>
                <w:rStyle w:val="Hyperlink"/>
              </w:rPr>
              <w:t xml:space="preserve"> </w:t>
            </w:r>
          </w:hyperlink>
        </w:hyperlink>
      </w:hyperlink>
      <w:r w:rsidRPr="00DD1ADC">
        <w:t>s 51A(1)(a)(ii)); a</w:t>
      </w:r>
      <w:r>
        <w:t>nd</w:t>
      </w:r>
    </w:p>
    <w:p w14:paraId="6C79B50B" w14:textId="77777777" w:rsidR="00E86304" w:rsidRPr="00FD274F" w:rsidRDefault="00E86304" w:rsidP="00E86304">
      <w:pPr>
        <w:pStyle w:val="BodyPara"/>
      </w:pPr>
      <w:r w:rsidRPr="00FD274F">
        <w:t>the Attorney</w:t>
      </w:r>
      <w:r>
        <w:noBreakHyphen/>
      </w:r>
      <w:r w:rsidRPr="00FD274F">
        <w:t>General to be satisfied</w:t>
      </w:r>
      <w:r>
        <w:t xml:space="preserve"> that</w:t>
      </w:r>
      <w:r w:rsidRPr="00FD274F">
        <w:t xml:space="preserve"> </w:t>
      </w:r>
      <w:r w:rsidRPr="00297797">
        <w:t xml:space="preserve">the making of the declaration will facilitate the undertaking of the review </w:t>
      </w:r>
      <w:r>
        <w:t>or</w:t>
      </w:r>
      <w:r w:rsidRPr="00297797">
        <w:t xml:space="preserve"> the implementation of </w:t>
      </w:r>
      <w:r>
        <w:t>the</w:t>
      </w:r>
      <w:r w:rsidRPr="00297797">
        <w:t xml:space="preserve"> findings </w:t>
      </w:r>
      <w:r>
        <w:t>of a completed revi</w:t>
      </w:r>
      <w:r w:rsidRPr="00DD1ADC">
        <w:t>ew (</w:t>
      </w:r>
      <w:hyperlink r:id="rId565" w:history="1">
        <w:hyperlink r:id="rId566" w:history="1">
          <w:hyperlink r:id="rId567" w:history="1">
            <w:hyperlink r:id="rId568" w:history="1">
              <w:r w:rsidRPr="00DD1ADC">
                <w:rPr>
                  <w:rStyle w:val="Hyperlink"/>
                </w:rPr>
                <w:t>LA</w:t>
              </w:r>
            </w:hyperlink>
            <w:r w:rsidRPr="00DD1ADC">
              <w:rPr>
                <w:rStyle w:val="Hyperlink"/>
              </w:rPr>
              <w:t xml:space="preserve"> </w:t>
            </w:r>
          </w:hyperlink>
        </w:hyperlink>
      </w:hyperlink>
      <w:r w:rsidRPr="00DD1ADC">
        <w:t>s 51A(1)(b)); a</w:t>
      </w:r>
      <w:r>
        <w:t>nd</w:t>
      </w:r>
    </w:p>
    <w:p w14:paraId="14235A77" w14:textId="77777777" w:rsidR="00E86304" w:rsidRDefault="00E86304" w:rsidP="00E86304">
      <w:pPr>
        <w:pStyle w:val="BodyPara"/>
      </w:pPr>
      <w:r w:rsidRPr="00FD274F">
        <w:t>the Attorney</w:t>
      </w:r>
      <w:r>
        <w:noBreakHyphen/>
      </w:r>
      <w:r w:rsidRPr="00FD274F">
        <w:t>General to make a declaration—this declaration is a legislative instrument that must be registere</w:t>
      </w:r>
      <w:r w:rsidRPr="00DD1ADC">
        <w:t>d (</w:t>
      </w:r>
      <w:hyperlink r:id="rId569" w:history="1">
        <w:r w:rsidRPr="00DD1ADC">
          <w:rPr>
            <w:rStyle w:val="Hyperlink"/>
          </w:rPr>
          <w:t>LA</w:t>
        </w:r>
      </w:hyperlink>
      <w:hyperlink r:id="rId570" w:history="1">
        <w:r w:rsidRPr="00BD6320">
          <w:t xml:space="preserve"> </w:t>
        </w:r>
      </w:hyperlink>
      <w:r w:rsidRPr="00DD1ADC">
        <w:t>s 51A(1)) an</w:t>
      </w:r>
      <w:r>
        <w:t>d is subject to disallowance.</w:t>
      </w:r>
    </w:p>
    <w:p w14:paraId="2B523743" w14:textId="77777777" w:rsidR="00E86304" w:rsidRPr="00FD274F" w:rsidRDefault="00E86304" w:rsidP="00E86304">
      <w:pPr>
        <w:pStyle w:val="BodyNum"/>
        <w:keepLines/>
      </w:pPr>
      <w:r w:rsidRPr="00FD274F">
        <w:t xml:space="preserve">A declaration of thematic review cannot revive an instrument that has already </w:t>
      </w:r>
      <w:proofErr w:type="spellStart"/>
      <w:r w:rsidRPr="00FD274F">
        <w:t>sunsetted</w:t>
      </w:r>
      <w:proofErr w:type="spellEnd"/>
      <w:r w:rsidRPr="00FD274F">
        <w:t>. Also, if a declaration is disallowed, any instrument named in the declaration that has passed its previous sunset date is repe</w:t>
      </w:r>
      <w:r>
        <w:t>aled</w:t>
      </w:r>
      <w:r w:rsidRPr="00FD274F">
        <w:t>. Consequently, any application for a declaration should be made well in advance of the earliest sunset date.</w:t>
      </w:r>
    </w:p>
    <w:p w14:paraId="0C1EC961" w14:textId="77777777" w:rsidR="00E86304" w:rsidRPr="00FD274F" w:rsidRDefault="00E86304" w:rsidP="00E86304">
      <w:pPr>
        <w:pStyle w:val="BodyNum"/>
      </w:pPr>
      <w:r w:rsidRPr="00FD274F">
        <w:t>For practical guidance on and assistance wi</w:t>
      </w:r>
      <w:r w:rsidRPr="00DD1ADC">
        <w:t>th section 51A applica</w:t>
      </w:r>
      <w:r w:rsidRPr="00FD274F">
        <w:t>tions, see the AGD Guide to Managing Sunsetting of Legislative Instruments</w:t>
      </w:r>
      <w:r w:rsidRPr="00FD274F">
        <w:rPr>
          <w:rStyle w:val="FootnoteReference"/>
        </w:rPr>
        <w:footnoteReference w:id="47"/>
      </w:r>
      <w:r w:rsidRPr="00FD274F">
        <w:rPr>
          <w:i/>
        </w:rPr>
        <w:t xml:space="preserve"> </w:t>
      </w:r>
      <w:r w:rsidRPr="00FD274F">
        <w:t>or contact AGD (</w:t>
      </w:r>
      <w:r>
        <w:t xml:space="preserve">email </w:t>
      </w:r>
      <w:hyperlink r:id="rId571" w:history="1">
        <w:r w:rsidRPr="00FD274F">
          <w:rPr>
            <w:rStyle w:val="Hyperlink"/>
          </w:rPr>
          <w:t>sunsetting@ag.gov.au</w:t>
        </w:r>
      </w:hyperlink>
      <w:r w:rsidRPr="00FD274F">
        <w:t xml:space="preserve"> or </w:t>
      </w:r>
      <w:r>
        <w:t xml:space="preserve">call the AGD Switchboard on </w:t>
      </w:r>
      <w:r w:rsidRPr="00E277CA">
        <w:t>(02) 6141 6666</w:t>
      </w:r>
      <w:r>
        <w:t xml:space="preserve"> and ask to be redirected to the Administrative Law Section</w:t>
      </w:r>
      <w:r w:rsidRPr="00F409B4">
        <w:t>)</w:t>
      </w:r>
      <w:r w:rsidRPr="00FD274F">
        <w:t>.</w:t>
      </w:r>
    </w:p>
    <w:p w14:paraId="14203F05" w14:textId="77777777" w:rsidR="00E86304" w:rsidRPr="00FD274F" w:rsidRDefault="00E86304" w:rsidP="00E86304">
      <w:pPr>
        <w:pStyle w:val="Head4"/>
      </w:pPr>
      <w:r w:rsidRPr="00FD274F">
        <w:lastRenderedPageBreak/>
        <w:t>Attorney</w:t>
      </w:r>
      <w:r>
        <w:noBreakHyphen/>
      </w:r>
      <w:r w:rsidRPr="00FD274F">
        <w:t>General’s certificate under section 51 of the LA</w:t>
      </w:r>
    </w:p>
    <w:p w14:paraId="341E5FCF" w14:textId="77777777" w:rsidR="00E86304" w:rsidRPr="00DA4D19" w:rsidRDefault="00E86304" w:rsidP="00E86304">
      <w:pPr>
        <w:pStyle w:val="BodyNum"/>
        <w:keepNext/>
      </w:pPr>
      <w:bookmarkStart w:id="189" w:name="_Ref367446626"/>
      <w:r w:rsidRPr="00DA4D19">
        <w:t>If the Attorney</w:t>
      </w:r>
      <w:r>
        <w:noBreakHyphen/>
      </w:r>
      <w:r w:rsidRPr="00DA4D19">
        <w:t>General is satisfied that the statutory conditi</w:t>
      </w:r>
      <w:r w:rsidRPr="00DD1ADC">
        <w:t xml:space="preserve">ons in section 51 of the </w:t>
      </w:r>
      <w:hyperlink r:id="rId572" w:history="1">
        <w:hyperlink r:id="rId573" w:history="1">
          <w:hyperlink r:id="rId574" w:history="1">
            <w:r w:rsidRPr="00DD1ADC">
              <w:rPr>
                <w:rStyle w:val="Hyperlink"/>
              </w:rPr>
              <w:t>LA</w:t>
            </w:r>
          </w:hyperlink>
          <w:r w:rsidRPr="00DD1ADC">
            <w:rPr>
              <w:rStyle w:val="Hyperlink"/>
            </w:rPr>
            <w:t xml:space="preserve"> </w:t>
          </w:r>
        </w:hyperlink>
      </w:hyperlink>
      <w:r w:rsidRPr="00DD1ADC">
        <w:t>are met,</w:t>
      </w:r>
      <w:r w:rsidRPr="00DA4D19">
        <w:t xml:space="preserve"> an instrument’s sunset date can be deferred for either 6, 12, 18 or 24 months by means of a certificate made under that section. In terms of process</w:t>
      </w:r>
      <w:r w:rsidRPr="00DD1ADC">
        <w:t xml:space="preserve">, the </w:t>
      </w:r>
      <w:hyperlink r:id="rId575" w:history="1">
        <w:r w:rsidRPr="00DD1ADC">
          <w:rPr>
            <w:rStyle w:val="Hyperlink"/>
          </w:rPr>
          <w:t>LA</w:t>
        </w:r>
      </w:hyperlink>
      <w:r w:rsidRPr="00DD1ADC">
        <w:t xml:space="preserve"> r</w:t>
      </w:r>
      <w:r w:rsidRPr="00DA4D19">
        <w:t>equires:</w:t>
      </w:r>
      <w:bookmarkEnd w:id="189"/>
    </w:p>
    <w:p w14:paraId="0C4E5C7F" w14:textId="77777777" w:rsidR="00E86304" w:rsidRPr="00DA4D19" w:rsidRDefault="00E86304" w:rsidP="00E86304">
      <w:pPr>
        <w:pStyle w:val="BodyPara"/>
      </w:pPr>
      <w:r w:rsidRPr="00DA4D19">
        <w:t>the responsible rule</w:t>
      </w:r>
      <w:r>
        <w:noBreakHyphen/>
      </w:r>
      <w:r w:rsidRPr="00DA4D19">
        <w:t>maker to apply to the Attorney</w:t>
      </w:r>
      <w:r>
        <w:noBreakHyphen/>
      </w:r>
      <w:r w:rsidRPr="00DA4D19">
        <w:t>General in writing; and</w:t>
      </w:r>
    </w:p>
    <w:p w14:paraId="353F34E0" w14:textId="77777777" w:rsidR="00E86304" w:rsidRPr="00DA4D19" w:rsidRDefault="00E86304" w:rsidP="00E86304">
      <w:pPr>
        <w:pStyle w:val="BodyPara"/>
      </w:pPr>
      <w:r w:rsidRPr="00DA4D19">
        <w:t>the Attorney</w:t>
      </w:r>
      <w:r>
        <w:noBreakHyphen/>
      </w:r>
      <w:r w:rsidRPr="00DA4D19">
        <w:t>General to be satisfied that the instrument meet</w:t>
      </w:r>
      <w:r>
        <w:t>s the statutory conditions; and</w:t>
      </w:r>
    </w:p>
    <w:p w14:paraId="54DC4CD1" w14:textId="77777777" w:rsidR="00E86304" w:rsidRDefault="00E86304" w:rsidP="00E86304">
      <w:pPr>
        <w:pStyle w:val="BodyPara"/>
      </w:pPr>
      <w:r w:rsidRPr="00D65BA8">
        <w:t>the Attorney</w:t>
      </w:r>
      <w:r>
        <w:noBreakHyphen/>
      </w:r>
      <w:r w:rsidRPr="00D65BA8">
        <w:t>General to make a certificate that must be regi</w:t>
      </w:r>
      <w:r w:rsidRPr="00DD1ADC">
        <w:t>stered (</w:t>
      </w:r>
      <w:hyperlink r:id="rId576" w:history="1">
        <w:hyperlink r:id="rId577" w:history="1">
          <w:hyperlink r:id="rId578" w:history="1">
            <w:r w:rsidRPr="00DD1ADC">
              <w:rPr>
                <w:rStyle w:val="Hyperlink"/>
              </w:rPr>
              <w:t>LA</w:t>
            </w:r>
          </w:hyperlink>
          <w:r w:rsidRPr="00DD1ADC">
            <w:rPr>
              <w:rStyle w:val="Hyperlink"/>
            </w:rPr>
            <w:t xml:space="preserve"> </w:t>
          </w:r>
        </w:hyperlink>
      </w:hyperlink>
      <w:r w:rsidRPr="00DD1ADC">
        <w:t>s 51(</w:t>
      </w:r>
      <w:r w:rsidRPr="00D65BA8">
        <w:t xml:space="preserve">3))—a certificate </w:t>
      </w:r>
      <w:r>
        <w:t xml:space="preserve">of deferral for </w:t>
      </w:r>
      <w:r w:rsidRPr="00D65BA8">
        <w:t>6 or 12 month</w:t>
      </w:r>
      <w:r>
        <w:t>s</w:t>
      </w:r>
      <w:r w:rsidRPr="00D65BA8">
        <w:t xml:space="preserve"> is exempt from disallowance </w:t>
      </w:r>
      <w:r w:rsidRPr="00DD1ADC">
        <w:t>(</w:t>
      </w:r>
      <w:hyperlink r:id="rId579" w:history="1">
        <w:hyperlink r:id="rId580" w:history="1">
          <w:hyperlink r:id="rId581" w:history="1">
            <w:r w:rsidRPr="00DD1ADC">
              <w:rPr>
                <w:rStyle w:val="Hyperlink"/>
              </w:rPr>
              <w:t>LA</w:t>
            </w:r>
          </w:hyperlink>
          <w:r w:rsidRPr="00DD1ADC">
            <w:rPr>
              <w:rStyle w:val="Hyperlink"/>
            </w:rPr>
            <w:t xml:space="preserve"> </w:t>
          </w:r>
        </w:hyperlink>
      </w:hyperlink>
      <w:r w:rsidRPr="00DD1ADC">
        <w:t>s 51(4)); an</w:t>
      </w:r>
      <w:r>
        <w:t>d</w:t>
      </w:r>
    </w:p>
    <w:p w14:paraId="227BC6CB" w14:textId="77777777" w:rsidR="00E86304" w:rsidRPr="00D65BA8" w:rsidRDefault="00E86304" w:rsidP="00E86304">
      <w:pPr>
        <w:pStyle w:val="BodyPara"/>
      </w:pPr>
      <w:r>
        <w:t>t</w:t>
      </w:r>
      <w:r w:rsidRPr="00202588">
        <w:t xml:space="preserve">he explanatory statement for </w:t>
      </w:r>
      <w:r>
        <w:t>the</w:t>
      </w:r>
      <w:r w:rsidRPr="00202588">
        <w:t xml:space="preserve"> certificate</w:t>
      </w:r>
      <w:r>
        <w:t xml:space="preserve"> </w:t>
      </w:r>
      <w:r w:rsidRPr="00202588">
        <w:t>must include a statement of reasons for the issue of the certificate.</w:t>
      </w:r>
    </w:p>
    <w:p w14:paraId="01861D8F" w14:textId="77777777" w:rsidR="00E86304" w:rsidRPr="00FD274F" w:rsidRDefault="00E86304" w:rsidP="00E86304">
      <w:pPr>
        <w:pStyle w:val="BodyNum"/>
      </w:pPr>
      <w:r w:rsidRPr="00FB5D3D">
        <w:t xml:space="preserve">A certificate cannot revive an instrument that has already </w:t>
      </w:r>
      <w:proofErr w:type="spellStart"/>
      <w:r w:rsidRPr="00FB5D3D">
        <w:t>sunsetted</w:t>
      </w:r>
      <w:proofErr w:type="spellEnd"/>
      <w:r w:rsidRPr="00FB5D3D">
        <w:t>, so it must be</w:t>
      </w:r>
      <w:r w:rsidRPr="00FD274F">
        <w:t xml:space="preserve"> prepared, signed, and registered before the releva</w:t>
      </w:r>
      <w:r>
        <w:t>nt sunset date to be effective.</w:t>
      </w:r>
    </w:p>
    <w:p w14:paraId="1128B930" w14:textId="77777777" w:rsidR="00E86304" w:rsidRPr="00FD274F" w:rsidRDefault="00E86304" w:rsidP="00E86304">
      <w:pPr>
        <w:pStyle w:val="BodyNum"/>
      </w:pPr>
      <w:r w:rsidRPr="00FD274F">
        <w:t xml:space="preserve">For practical guidance on and assistance with applications for </w:t>
      </w:r>
      <w:r w:rsidRPr="00DD1ADC">
        <w:t>section 51 certific</w:t>
      </w:r>
      <w:r w:rsidRPr="00FD274F">
        <w:t>ates, see the AGD Guide to Managing Sunsetting Instruments</w:t>
      </w:r>
      <w:r w:rsidRPr="00FD274F">
        <w:rPr>
          <w:rStyle w:val="FootnoteReference"/>
        </w:rPr>
        <w:footnoteReference w:id="48"/>
      </w:r>
      <w:r w:rsidRPr="00FD274F">
        <w:t xml:space="preserve"> or contact AGD (</w:t>
      </w:r>
      <w:r>
        <w:t xml:space="preserve">email </w:t>
      </w:r>
      <w:hyperlink r:id="rId582" w:history="1">
        <w:r w:rsidRPr="00FD274F">
          <w:rPr>
            <w:rStyle w:val="Hyperlink"/>
          </w:rPr>
          <w:t>sunsetting@ag.gov.au</w:t>
        </w:r>
      </w:hyperlink>
      <w:r w:rsidRPr="00FD274F">
        <w:t xml:space="preserve"> or </w:t>
      </w:r>
      <w:r>
        <w:t xml:space="preserve">call the AGD Switchboard on </w:t>
      </w:r>
      <w:r w:rsidRPr="00E277CA">
        <w:t>(02) 6141 6666</w:t>
      </w:r>
      <w:r>
        <w:t xml:space="preserve"> and ask to be redirected to the Administrative Law Section</w:t>
      </w:r>
      <w:r w:rsidRPr="00F409B4">
        <w:t>)</w:t>
      </w:r>
      <w:r>
        <w:t>.</w:t>
      </w:r>
    </w:p>
    <w:p w14:paraId="62552FCB" w14:textId="77777777" w:rsidR="00E86304" w:rsidRPr="00FD274F" w:rsidRDefault="00E86304" w:rsidP="00E86304">
      <w:pPr>
        <w:pStyle w:val="Head3"/>
      </w:pPr>
      <w:bookmarkStart w:id="190" w:name="_Toc238117584"/>
      <w:r w:rsidRPr="00FD274F">
        <w:t xml:space="preserve">Parliamentary </w:t>
      </w:r>
      <w:r>
        <w:t>“</w:t>
      </w:r>
      <w:r w:rsidRPr="00FD274F">
        <w:t>rollovers</w:t>
      </w:r>
      <w:r>
        <w:t>”</w:t>
      </w:r>
      <w:bookmarkEnd w:id="190"/>
    </w:p>
    <w:p w14:paraId="79175D6A" w14:textId="77777777" w:rsidR="00E86304" w:rsidRPr="00DD1ADC" w:rsidRDefault="00E86304" w:rsidP="00E86304">
      <w:pPr>
        <w:pStyle w:val="BodyNum"/>
      </w:pPr>
      <w:bookmarkStart w:id="191" w:name="_Ref367447300"/>
      <w:r w:rsidRPr="00FB5D3D">
        <w:t>If an instrument is mentione</w:t>
      </w:r>
      <w:r w:rsidRPr="00DD1ADC">
        <w:t>d in a section 51 deferral certif</w:t>
      </w:r>
      <w:r w:rsidRPr="00FB5D3D">
        <w:t>icate laid before a House of the Parliament in accordance with se</w:t>
      </w:r>
      <w:r w:rsidRPr="00DD1ADC">
        <w:t xml:space="preserve">ction 38 of the </w:t>
      </w:r>
      <w:hyperlink r:id="rId583" w:history="1">
        <w:r w:rsidRPr="00DD1ADC">
          <w:rPr>
            <w:rStyle w:val="Hyperlink"/>
          </w:rPr>
          <w:t>LA</w:t>
        </w:r>
      </w:hyperlink>
      <w:r w:rsidRPr="00DD1ADC">
        <w:rPr>
          <w:rStyle w:val="Hyperlink"/>
        </w:rPr>
        <w:t xml:space="preserve"> </w:t>
      </w:r>
      <w:r w:rsidRPr="00DD1ADC">
        <w:t>or i</w:t>
      </w:r>
      <w:r w:rsidRPr="00FB5D3D">
        <w:t xml:space="preserve">n a </w:t>
      </w:r>
      <w:r>
        <w:t xml:space="preserve">sunsetting </w:t>
      </w:r>
      <w:r w:rsidRPr="00FB5D3D">
        <w:t xml:space="preserve">list laid before a House of the Parliament under </w:t>
      </w:r>
      <w:r w:rsidRPr="00DD1ADC">
        <w:t>section 52,</w:t>
      </w:r>
      <w:r w:rsidRPr="00DD1ADC">
        <w:rPr>
          <w:rStyle w:val="Hyperlink"/>
        </w:rPr>
        <w:t xml:space="preserve"> </w:t>
      </w:r>
      <w:r w:rsidRPr="00DD1ADC">
        <w:t>eit</w:t>
      </w:r>
      <w:r w:rsidRPr="00FB5D3D">
        <w:t xml:space="preserve">her House of the Parliament may pass a resolution at any time before </w:t>
      </w:r>
      <w:r>
        <w:t>the repeal</w:t>
      </w:r>
      <w:r w:rsidRPr="00FB5D3D">
        <w:t xml:space="preserve"> day</w:t>
      </w:r>
      <w:r>
        <w:t xml:space="preserve"> that the instrument should continue in for</w:t>
      </w:r>
      <w:r w:rsidRPr="00DD1ADC">
        <w:t>ce (</w:t>
      </w:r>
      <w:hyperlink r:id="rId584" w:history="1">
        <w:hyperlink r:id="rId585" w:history="1">
          <w:hyperlink r:id="rId586" w:history="1">
            <w:r w:rsidRPr="00DD1ADC">
              <w:rPr>
                <w:rStyle w:val="Hyperlink"/>
              </w:rPr>
              <w:t>LA</w:t>
            </w:r>
          </w:hyperlink>
          <w:r w:rsidRPr="00DD1ADC">
            <w:rPr>
              <w:rStyle w:val="Hyperlink"/>
            </w:rPr>
            <w:t xml:space="preserve"> </w:t>
          </w:r>
        </w:hyperlink>
      </w:hyperlink>
      <w:r w:rsidRPr="00DD1ADC">
        <w:t>s 53(1)).</w:t>
      </w:r>
      <w:bookmarkEnd w:id="191"/>
    </w:p>
    <w:p w14:paraId="1067ABCA" w14:textId="77777777" w:rsidR="00E86304" w:rsidRPr="00FD274F" w:rsidRDefault="00E86304" w:rsidP="00E86304">
      <w:pPr>
        <w:pStyle w:val="BodyNum"/>
      </w:pPr>
      <w:r w:rsidRPr="00FD274F">
        <w:t xml:space="preserve">If </w:t>
      </w:r>
      <w:r>
        <w:t xml:space="preserve">a </w:t>
      </w:r>
      <w:r w:rsidRPr="00FD274F">
        <w:t>resolution is passed, the instrument’s sunset date is deferred for 10 years. There is no requirement to remake, register or table an instrument that has been rolled over and, having already been the subject of parliamentary scrutiny, the instrument is not subject to further scrutiny in the form of disallowance.</w:t>
      </w:r>
    </w:p>
    <w:p w14:paraId="743616A8" w14:textId="77777777" w:rsidR="00E86304" w:rsidRPr="00FD274F" w:rsidRDefault="00E86304" w:rsidP="00E86304">
      <w:pPr>
        <w:pStyle w:val="BodyNum"/>
        <w:keepLines/>
      </w:pPr>
      <w:r w:rsidRPr="00FD274F">
        <w:t xml:space="preserve">If the vote </w:t>
      </w:r>
      <w:r>
        <w:t xml:space="preserve">on the proposed rollover </w:t>
      </w:r>
      <w:r w:rsidRPr="00FD274F">
        <w:t xml:space="preserve">is in the negative, or if no vote is taken </w:t>
      </w:r>
      <w:r>
        <w:t>prior to the instrument’s scheduled sunsetting date</w:t>
      </w:r>
      <w:r w:rsidRPr="00FD274F">
        <w:t>, nothing changes and urgent action is required to prepare, make and register a replacement instrument before the existing instrument sunsets. As part of that process, changes to the substance of the instrument may be desirable or important (particularly if the replacement will be subject to disallowance).</w:t>
      </w:r>
    </w:p>
    <w:p w14:paraId="5A1026A9" w14:textId="77777777" w:rsidR="00E86304" w:rsidRPr="00FD274F" w:rsidRDefault="00E86304" w:rsidP="00E86304">
      <w:pPr>
        <w:pStyle w:val="Head4"/>
      </w:pPr>
      <w:r w:rsidRPr="00FD274F">
        <w:lastRenderedPageBreak/>
        <w:t>If notice of private rollover motion is given</w:t>
      </w:r>
    </w:p>
    <w:p w14:paraId="38A81682" w14:textId="77777777" w:rsidR="00E86304" w:rsidRPr="00FD274F" w:rsidRDefault="00E86304" w:rsidP="00E86304">
      <w:pPr>
        <w:pStyle w:val="BodyNum"/>
      </w:pPr>
      <w:proofErr w:type="spellStart"/>
      <w:r w:rsidRPr="00FD274F">
        <w:t>OPC</w:t>
      </w:r>
      <w:proofErr w:type="spellEnd"/>
      <w:r w:rsidRPr="00FD274F">
        <w:t xml:space="preserve"> monitors parliamentary proceedings and will notify agencies as soon as practicable if an instrument is subject to a motion for a rollover by a Private Member.</w:t>
      </w:r>
    </w:p>
    <w:p w14:paraId="23744F65" w14:textId="77777777" w:rsidR="00E86304" w:rsidRPr="00FD274F" w:rsidRDefault="00E86304" w:rsidP="00E86304">
      <w:pPr>
        <w:pStyle w:val="Head4"/>
      </w:pPr>
      <w:r w:rsidRPr="00FD274F">
        <w:t>When government rollover motion may be appropriate</w:t>
      </w:r>
    </w:p>
    <w:p w14:paraId="4016AB2F" w14:textId="77777777" w:rsidR="00E86304" w:rsidRPr="00FD274F" w:rsidRDefault="00E86304" w:rsidP="00E86304">
      <w:pPr>
        <w:pStyle w:val="BodyNum"/>
        <w:keepLines/>
      </w:pPr>
      <w:r w:rsidRPr="00FD274F">
        <w:t xml:space="preserve">Only Senators and Members </w:t>
      </w:r>
      <w:r>
        <w:t xml:space="preserve">of Parliament </w:t>
      </w:r>
      <w:r w:rsidRPr="00FD274F">
        <w:t>can move for a rollover un</w:t>
      </w:r>
      <w:r w:rsidRPr="00DD1ADC">
        <w:t xml:space="preserve">der section 53 of the </w:t>
      </w:r>
      <w:hyperlink r:id="rId587" w:history="1">
        <w:hyperlink r:id="rId588" w:history="1">
          <w:hyperlink r:id="rId589" w:history="1">
            <w:r w:rsidRPr="00DD1ADC">
              <w:rPr>
                <w:rStyle w:val="Hyperlink"/>
              </w:rPr>
              <w:t>LA</w:t>
            </w:r>
          </w:hyperlink>
        </w:hyperlink>
      </w:hyperlink>
      <w:r w:rsidRPr="00DD1ADC">
        <w:t>. Conseq</w:t>
      </w:r>
      <w:r w:rsidRPr="00FD274F">
        <w:t>uently, unless the rule</w:t>
      </w:r>
      <w:r>
        <w:noBreakHyphen/>
      </w:r>
      <w:r w:rsidRPr="00FD274F">
        <w:t>maker is a Minister, it will be necessary for the rule</w:t>
      </w:r>
      <w:r>
        <w:noBreakHyphen/>
      </w:r>
      <w:r w:rsidRPr="00FD274F">
        <w:t xml:space="preserve">maker </w:t>
      </w:r>
      <w:r>
        <w:t xml:space="preserve">(for example, the Secretary of a Department or statutory body) </w:t>
      </w:r>
      <w:r w:rsidRPr="00FD274F">
        <w:t>to make the case for a rollover to the responsible Minister. This should be done well in advance of the deadline for rollover motions, because:</w:t>
      </w:r>
    </w:p>
    <w:p w14:paraId="40B20D94" w14:textId="77777777" w:rsidR="00E86304" w:rsidRPr="00FD274F" w:rsidRDefault="00E86304" w:rsidP="00E86304">
      <w:pPr>
        <w:pStyle w:val="BodyPara"/>
      </w:pPr>
      <w:r w:rsidRPr="00FD274F">
        <w:t>consultation with government and other stakeholders may be necessary or desirable (s</w:t>
      </w:r>
      <w:r w:rsidRPr="00FA2355">
        <w:t xml:space="preserve">ee paragraph </w:t>
      </w:r>
      <w:r w:rsidRPr="00DD1ADC">
        <w:fldChar w:fldCharType="begin"/>
      </w:r>
      <w:r w:rsidRPr="00FA2355">
        <w:instrText xml:space="preserve"> REF _Ref453330210 \r \h </w:instrText>
      </w:r>
      <w:r>
        <w:rPr>
          <w:highlight w:val="yellow"/>
        </w:rPr>
        <w:instrText xml:space="preserve"> \* MERGEFORMAT </w:instrText>
      </w:r>
      <w:r w:rsidRPr="00DD1ADC">
        <w:fldChar w:fldCharType="separate"/>
      </w:r>
      <w:r>
        <w:t>350</w:t>
      </w:r>
      <w:r w:rsidRPr="00DD1ADC">
        <w:fldChar w:fldCharType="end"/>
      </w:r>
      <w:r w:rsidRPr="00FA2355">
        <w:t>); a</w:t>
      </w:r>
      <w:r w:rsidRPr="00FD274F">
        <w:t>nd</w:t>
      </w:r>
    </w:p>
    <w:p w14:paraId="09BFC900" w14:textId="77777777" w:rsidR="00E86304" w:rsidRPr="00FD274F" w:rsidRDefault="00E86304" w:rsidP="00E86304">
      <w:pPr>
        <w:pStyle w:val="BodyPara"/>
      </w:pPr>
      <w:r w:rsidRPr="00FD274F">
        <w:t>both the parliamentary sitting schedule and order of business can be subject to change without notice.</w:t>
      </w:r>
    </w:p>
    <w:p w14:paraId="1D8EBD80" w14:textId="77777777" w:rsidR="00E86304" w:rsidRPr="00FD274F" w:rsidRDefault="00E86304" w:rsidP="00E86304">
      <w:pPr>
        <w:pStyle w:val="BodyNum"/>
      </w:pPr>
      <w:bookmarkStart w:id="192" w:name="_Ref453330210"/>
      <w:bookmarkStart w:id="193" w:name="_Ref378080485"/>
      <w:r w:rsidRPr="00FD274F">
        <w:t>Agencies considering a rollover motion should consult AGD before proceeding to ensure that current policy and process requirements have been met. Agencies should also recognise that a rollover may not reduce overall workload compared with re</w:t>
      </w:r>
      <w:r>
        <w:t>placing</w:t>
      </w:r>
      <w:r w:rsidRPr="00FD274F">
        <w:t xml:space="preserve"> an instrument. There could be significant workload and other consequences if, for example:</w:t>
      </w:r>
      <w:bookmarkEnd w:id="192"/>
    </w:p>
    <w:p w14:paraId="08088955" w14:textId="77777777" w:rsidR="00E86304" w:rsidRPr="00FD274F" w:rsidRDefault="00E86304" w:rsidP="00E86304">
      <w:pPr>
        <w:pStyle w:val="BodyPara"/>
      </w:pPr>
      <w:r w:rsidRPr="00FD274F">
        <w:t>a motion is controversia</w:t>
      </w:r>
      <w:r>
        <w:t>l and referred to committee; or</w:t>
      </w:r>
    </w:p>
    <w:p w14:paraId="4A892D56" w14:textId="77777777" w:rsidR="00E86304" w:rsidRPr="00FD274F" w:rsidRDefault="00E86304" w:rsidP="00E86304">
      <w:pPr>
        <w:pStyle w:val="BodyPara"/>
      </w:pPr>
      <w:r w:rsidRPr="00FD274F">
        <w:t>public uncertainty about the instrument generates campaign correspondence; or</w:t>
      </w:r>
    </w:p>
    <w:p w14:paraId="0B9D2392" w14:textId="77777777" w:rsidR="00E86304" w:rsidRPr="00FD274F" w:rsidRDefault="00E86304" w:rsidP="00E86304">
      <w:pPr>
        <w:pStyle w:val="BodyPara"/>
      </w:pPr>
      <w:r w:rsidRPr="00FD274F">
        <w:t xml:space="preserve">a motion is unsuccessful and the instrument has to be </w:t>
      </w:r>
      <w:r>
        <w:t>replaced within short timeframes.</w:t>
      </w:r>
    </w:p>
    <w:p w14:paraId="266A5E06" w14:textId="77777777" w:rsidR="00E86304" w:rsidRPr="00FD274F" w:rsidRDefault="00E86304" w:rsidP="00E86304">
      <w:pPr>
        <w:pStyle w:val="BodyNum"/>
      </w:pPr>
      <w:r w:rsidRPr="00FD274F">
        <w:t>For further guidance on this matter, see the AGD Guide to Managing Sunsetting Instruments</w:t>
      </w:r>
      <w:r w:rsidRPr="00FD274F">
        <w:rPr>
          <w:rStyle w:val="FootnoteReference"/>
        </w:rPr>
        <w:footnoteReference w:id="49"/>
      </w:r>
      <w:r w:rsidRPr="00FD274F">
        <w:t xml:space="preserve"> or contact AGD (</w:t>
      </w:r>
      <w:r>
        <w:t xml:space="preserve">email </w:t>
      </w:r>
      <w:hyperlink r:id="rId590" w:history="1">
        <w:r w:rsidRPr="00FD274F">
          <w:rPr>
            <w:rStyle w:val="Hyperlink"/>
          </w:rPr>
          <w:t>sunsetting@ag.gov.au</w:t>
        </w:r>
      </w:hyperlink>
      <w:r w:rsidRPr="00FD274F">
        <w:t xml:space="preserve"> or </w:t>
      </w:r>
      <w:r>
        <w:t xml:space="preserve">call the AGD Switchboard on </w:t>
      </w:r>
      <w:r w:rsidRPr="00E277CA">
        <w:t>(02) 6141 6666</w:t>
      </w:r>
      <w:r>
        <w:t xml:space="preserve"> and ask to be redirected to the Administrative Law Section</w:t>
      </w:r>
      <w:r w:rsidRPr="00F409B4">
        <w:t>)</w:t>
      </w:r>
      <w:r w:rsidRPr="00FD274F">
        <w:t>.</w:t>
      </w:r>
      <w:bookmarkEnd w:id="193"/>
    </w:p>
    <w:p w14:paraId="59A5D8AE" w14:textId="77777777" w:rsidR="00E86304" w:rsidRPr="00FD274F" w:rsidRDefault="00E86304" w:rsidP="00E86304">
      <w:pPr>
        <w:pStyle w:val="Head4"/>
      </w:pPr>
      <w:r w:rsidRPr="00FD274F">
        <w:t>Tabling of documents for rollover purposes</w:t>
      </w:r>
    </w:p>
    <w:p w14:paraId="4A767682" w14:textId="77777777" w:rsidR="00E86304" w:rsidRPr="00FD274F" w:rsidRDefault="00E86304" w:rsidP="00E86304">
      <w:pPr>
        <w:pStyle w:val="BodyNum"/>
      </w:pPr>
      <w:bookmarkStart w:id="194" w:name="_Ref29484918"/>
      <w:bookmarkStart w:id="195" w:name="_Ref378080491"/>
      <w:r w:rsidRPr="00FD274F">
        <w:t xml:space="preserve">If a document needs to be tabled in anticipation or support of a rollover motion, it cannot be lodged for tabling through </w:t>
      </w:r>
      <w:proofErr w:type="spellStart"/>
      <w:r w:rsidRPr="00FD274F">
        <w:t>OPC</w:t>
      </w:r>
      <w:proofErr w:type="spellEnd"/>
      <w:r w:rsidRPr="00FD274F">
        <w:t xml:space="preserve">. The relevant agency will need to prepare and lodge it in accordance with the current </w:t>
      </w:r>
      <w:r>
        <w:t xml:space="preserve">Tabling </w:t>
      </w:r>
      <w:r w:rsidRPr="00FD274F">
        <w:t>Guidelines</w:t>
      </w:r>
      <w:r w:rsidRPr="00FD274F">
        <w:rPr>
          <w:rStyle w:val="FootnoteReference"/>
        </w:rPr>
        <w:footnoteReference w:id="50"/>
      </w:r>
      <w:r w:rsidRPr="00FD274F">
        <w:t>. It may also be appropriate to provide additional courtesy copies to relevant scrutiny bodies.</w:t>
      </w:r>
      <w:bookmarkEnd w:id="194"/>
    </w:p>
    <w:p w14:paraId="3DAD3743" w14:textId="77777777" w:rsidR="00E86304" w:rsidRPr="00FD274F" w:rsidRDefault="00E86304" w:rsidP="00E86304">
      <w:pPr>
        <w:pStyle w:val="Head3"/>
      </w:pPr>
      <w:bookmarkStart w:id="196" w:name="_Toc238117585"/>
      <w:bookmarkEnd w:id="195"/>
      <w:r w:rsidRPr="00FD274F">
        <w:lastRenderedPageBreak/>
        <w:t>Re</w:t>
      </w:r>
      <w:r>
        <w:t>placement</w:t>
      </w:r>
      <w:r w:rsidRPr="00FD274F">
        <w:t xml:space="preserve"> of sunsetting instruments (if required)</w:t>
      </w:r>
      <w:bookmarkEnd w:id="196"/>
    </w:p>
    <w:p w14:paraId="392DDD9B" w14:textId="77777777" w:rsidR="00E86304" w:rsidRPr="00FD274F" w:rsidRDefault="00E86304" w:rsidP="00E86304">
      <w:pPr>
        <w:pStyle w:val="BodyNum"/>
      </w:pPr>
      <w:bookmarkStart w:id="197" w:name="_Ref29484941"/>
      <w:bookmarkStart w:id="198" w:name="_Ref367447316"/>
      <w:r w:rsidRPr="00FD274F">
        <w:t>A rule</w:t>
      </w:r>
      <w:r>
        <w:noBreakHyphen/>
      </w:r>
      <w:r w:rsidRPr="00FD274F">
        <w:t xml:space="preserve">maker who is authorised to make a particular instrument can repeal and remake it, no matter who originally made it. Merely amending an instrument does not </w:t>
      </w:r>
      <w:r>
        <w:t>reset its sunsetting “clock”.</w:t>
      </w:r>
      <w:bookmarkEnd w:id="197"/>
    </w:p>
    <w:p w14:paraId="2F9B5C1A" w14:textId="77777777" w:rsidR="00E86304" w:rsidRPr="00FD274F" w:rsidRDefault="00E86304" w:rsidP="00E86304">
      <w:pPr>
        <w:pStyle w:val="BodyNum"/>
      </w:pPr>
      <w:bookmarkStart w:id="199" w:name="_Ref435534951"/>
      <w:r w:rsidRPr="00FD274F">
        <w:t>To ensure continuity of the law, a new (replacement) instrument must be made and registered before any existing instrument sunsets. Failure to get a replacement instrument made and registered by the sunset date can have significant legal and other conseque</w:t>
      </w:r>
      <w:r w:rsidRPr="00FA2355">
        <w:t xml:space="preserve">nces (see paragraphs </w:t>
      </w:r>
      <w:r w:rsidRPr="00FD6A45">
        <w:rPr>
          <w:highlight w:val="yellow"/>
        </w:rPr>
        <w:fldChar w:fldCharType="begin"/>
      </w:r>
      <w:r w:rsidRPr="00FA2355">
        <w:instrText xml:space="preserve"> REF _Ref444692813 \r \h  \* MERGEFORMAT </w:instrText>
      </w:r>
      <w:r w:rsidRPr="00FD6A45">
        <w:rPr>
          <w:highlight w:val="yellow"/>
        </w:rPr>
      </w:r>
      <w:r w:rsidRPr="00FD6A45">
        <w:rPr>
          <w:highlight w:val="yellow"/>
        </w:rPr>
        <w:fldChar w:fldCharType="separate"/>
      </w:r>
      <w:r>
        <w:t>73</w:t>
      </w:r>
      <w:r w:rsidRPr="00FD6A45">
        <w:rPr>
          <w:highlight w:val="yellow"/>
        </w:rPr>
        <w:fldChar w:fldCharType="end"/>
      </w:r>
      <w:r w:rsidRPr="00FA2355">
        <w:t xml:space="preserve"> </w:t>
      </w:r>
      <w:r>
        <w:t>to</w:t>
      </w:r>
      <w:r w:rsidRPr="00FA2355">
        <w:t xml:space="preserve"> </w:t>
      </w:r>
      <w:r>
        <w:fldChar w:fldCharType="begin"/>
      </w:r>
      <w:r>
        <w:instrText xml:space="preserve"> REF _Ref112918881 \r \h </w:instrText>
      </w:r>
      <w:r>
        <w:fldChar w:fldCharType="separate"/>
      </w:r>
      <w:r>
        <w:t>78</w:t>
      </w:r>
      <w:r>
        <w:fldChar w:fldCharType="end"/>
      </w:r>
      <w:r w:rsidRPr="00FD274F">
        <w:t>).</w:t>
      </w:r>
      <w:bookmarkEnd w:id="199"/>
    </w:p>
    <w:p w14:paraId="76290E49" w14:textId="77777777" w:rsidR="00E86304" w:rsidRPr="00FD274F" w:rsidRDefault="00E86304" w:rsidP="00E86304">
      <w:pPr>
        <w:pStyle w:val="BodyNum"/>
      </w:pPr>
      <w:r w:rsidRPr="00FD274F">
        <w:t xml:space="preserve">In the case of disallowable instruments, a much earlier date of registration is recommended to reduce the potential risks and consequences of disallowance. Disallowance of a replacement instrument or provision may temporarily revive a previous instrument, but cannot prevent that instrument sunsetting or revive an instrument that has already </w:t>
      </w:r>
      <w:proofErr w:type="spellStart"/>
      <w:r w:rsidRPr="00FD274F">
        <w:t>sunsetted</w:t>
      </w:r>
      <w:proofErr w:type="spellEnd"/>
      <w:r w:rsidRPr="00FD274F">
        <w:t>.</w:t>
      </w:r>
    </w:p>
    <w:p w14:paraId="2015F33E" w14:textId="77777777" w:rsidR="00E86304" w:rsidRPr="00FD274F" w:rsidRDefault="00E86304" w:rsidP="00E86304">
      <w:pPr>
        <w:pStyle w:val="BodyNum"/>
      </w:pPr>
      <w:r w:rsidRPr="00FD274F">
        <w:t xml:space="preserve">It may be tempting for agencies to assume that the process of preparing a new instrument to replace a sunsetting instrument will not take very long because necessary provisions already exist. However, it is </w:t>
      </w:r>
      <w:proofErr w:type="spellStart"/>
      <w:r w:rsidRPr="00FD274F">
        <w:t>OPC’s</w:t>
      </w:r>
      <w:proofErr w:type="spellEnd"/>
      <w:r w:rsidRPr="00FD274F">
        <w:t xml:space="preserve"> experience that significant time and care is needed to ensure that:</w:t>
      </w:r>
    </w:p>
    <w:p w14:paraId="05215A95" w14:textId="77777777" w:rsidR="00E86304" w:rsidRPr="00FD274F" w:rsidRDefault="00E86304" w:rsidP="00E86304">
      <w:pPr>
        <w:pStyle w:val="BodyPara"/>
      </w:pPr>
      <w:r w:rsidRPr="00FD274F">
        <w:t xml:space="preserve">the new instrument is legally effective, clear and intelligible to anticipated users </w:t>
      </w:r>
      <w:r w:rsidRPr="00FA2355">
        <w:t xml:space="preserve">(see paragraphs </w:t>
      </w:r>
      <w:r w:rsidRPr="00FD6A45">
        <w:rPr>
          <w:highlight w:val="yellow"/>
        </w:rPr>
        <w:fldChar w:fldCharType="begin"/>
      </w:r>
      <w:r w:rsidRPr="00FA2355">
        <w:instrText xml:space="preserve"> REF _Ref472357689 \r \h </w:instrText>
      </w:r>
      <w:r>
        <w:rPr>
          <w:highlight w:val="yellow"/>
        </w:rPr>
        <w:instrText xml:space="preserve"> \* MERGEFORMAT </w:instrText>
      </w:r>
      <w:r w:rsidRPr="00FD6A45">
        <w:rPr>
          <w:highlight w:val="yellow"/>
        </w:rPr>
      </w:r>
      <w:r w:rsidRPr="00FD6A45">
        <w:rPr>
          <w:highlight w:val="yellow"/>
        </w:rPr>
        <w:fldChar w:fldCharType="separate"/>
      </w:r>
      <w:r>
        <w:t>357</w:t>
      </w:r>
      <w:r w:rsidRPr="00FD6A45">
        <w:rPr>
          <w:highlight w:val="yellow"/>
        </w:rPr>
        <w:fldChar w:fldCharType="end"/>
      </w:r>
      <w:r w:rsidRPr="00FA2355">
        <w:t xml:space="preserve"> to </w:t>
      </w:r>
      <w:r w:rsidRPr="00FD6A45">
        <w:rPr>
          <w:highlight w:val="yellow"/>
        </w:rPr>
        <w:fldChar w:fldCharType="begin"/>
      </w:r>
      <w:r w:rsidRPr="00FA2355">
        <w:instrText xml:space="preserve"> REF _Ref378080360 \r \h </w:instrText>
      </w:r>
      <w:r>
        <w:rPr>
          <w:highlight w:val="yellow"/>
        </w:rPr>
        <w:instrText xml:space="preserve"> \* MERGEFORMAT </w:instrText>
      </w:r>
      <w:r w:rsidRPr="00FD6A45">
        <w:rPr>
          <w:highlight w:val="yellow"/>
        </w:rPr>
      </w:r>
      <w:r w:rsidRPr="00FD6A45">
        <w:rPr>
          <w:highlight w:val="yellow"/>
        </w:rPr>
        <w:fldChar w:fldCharType="separate"/>
      </w:r>
      <w:r>
        <w:t>366</w:t>
      </w:r>
      <w:r w:rsidRPr="00FD6A45">
        <w:rPr>
          <w:highlight w:val="yellow"/>
        </w:rPr>
        <w:fldChar w:fldCharType="end"/>
      </w:r>
      <w:r w:rsidRPr="00FA2355">
        <w:t>); a</w:t>
      </w:r>
      <w:r>
        <w:t>nd</w:t>
      </w:r>
    </w:p>
    <w:p w14:paraId="6B9CBD6C" w14:textId="77777777" w:rsidR="00E86304" w:rsidRPr="00FD274F" w:rsidRDefault="00E86304" w:rsidP="00E86304">
      <w:pPr>
        <w:pStyle w:val="BodyPara"/>
      </w:pPr>
      <w:r w:rsidRPr="00FD274F">
        <w:t xml:space="preserve">consultation, </w:t>
      </w:r>
      <w:r>
        <w:t>policy</w:t>
      </w:r>
      <w:r w:rsidRPr="00FD274F">
        <w:t xml:space="preserve"> impact and other process requirements are met (see </w:t>
      </w:r>
      <w:hyperlink w:anchor="Chapter7" w:history="1">
        <w:r w:rsidRPr="00FA2355">
          <w:rPr>
            <w:rStyle w:val="Hyperlink"/>
          </w:rPr>
          <w:t>Chapter</w:t>
        </w:r>
        <w:r>
          <w:rPr>
            <w:rStyle w:val="Hyperlink"/>
          </w:rPr>
          <w:t xml:space="preserve"> 6</w:t>
        </w:r>
      </w:hyperlink>
      <w:r w:rsidRPr="00FA2355">
        <w:t>); a</w:t>
      </w:r>
      <w:r>
        <w:t>nd</w:t>
      </w:r>
    </w:p>
    <w:p w14:paraId="771BDA62" w14:textId="77777777" w:rsidR="00E86304" w:rsidRPr="00FD274F" w:rsidRDefault="00E86304" w:rsidP="00E86304">
      <w:pPr>
        <w:pStyle w:val="BodyPara"/>
      </w:pPr>
      <w:r w:rsidRPr="00FD274F">
        <w:t xml:space="preserve">the explanatory statement for the instrument meets current legislative and Parliamentary standards (see </w:t>
      </w:r>
      <w:hyperlink w:anchor="Chapter8" w:history="1">
        <w:r w:rsidRPr="00FA2355">
          <w:rPr>
            <w:rStyle w:val="Hyperlink"/>
          </w:rPr>
          <w:t xml:space="preserve">Chapter </w:t>
        </w:r>
        <w:r>
          <w:rPr>
            <w:rStyle w:val="Hyperlink"/>
          </w:rPr>
          <w:t>7</w:t>
        </w:r>
      </w:hyperlink>
      <w:r w:rsidRPr="00FA2355">
        <w:t>)</w:t>
      </w:r>
      <w:bookmarkEnd w:id="198"/>
      <w:r w:rsidRPr="00FA2355">
        <w:t>.</w:t>
      </w:r>
    </w:p>
    <w:p w14:paraId="0295CF13" w14:textId="77777777" w:rsidR="00E86304" w:rsidRPr="00FD274F" w:rsidRDefault="00E86304" w:rsidP="00E86304">
      <w:pPr>
        <w:pStyle w:val="Head4"/>
      </w:pPr>
      <w:r w:rsidRPr="00FD274F">
        <w:t>Drafting of replacement instruments</w:t>
      </w:r>
    </w:p>
    <w:p w14:paraId="4835CDEA" w14:textId="77777777" w:rsidR="00E86304" w:rsidRPr="00FD274F" w:rsidRDefault="00E86304" w:rsidP="00E86304">
      <w:pPr>
        <w:pStyle w:val="BodyNum"/>
      </w:pPr>
      <w:bookmarkStart w:id="200" w:name="_Ref472357689"/>
      <w:r w:rsidRPr="00FD274F">
        <w:t xml:space="preserve">If an agency intends to use </w:t>
      </w:r>
      <w:proofErr w:type="spellStart"/>
      <w:r w:rsidRPr="00FD274F">
        <w:t>OPC’s</w:t>
      </w:r>
      <w:proofErr w:type="spellEnd"/>
      <w:r w:rsidRPr="00FD274F">
        <w:t xml:space="preserve"> drafting services to draft a replacement for a particular instrument</w:t>
      </w:r>
      <w:r w:rsidRPr="00FD274F">
        <w:rPr>
          <w:rStyle w:val="FootnoteReference"/>
          <w:color w:val="000000" w:themeColor="text1"/>
        </w:rPr>
        <w:footnoteReference w:id="51"/>
      </w:r>
      <w:r w:rsidRPr="00FD274F">
        <w:t xml:space="preserve">, </w:t>
      </w:r>
      <w:proofErr w:type="spellStart"/>
      <w:r w:rsidRPr="00FD274F">
        <w:t>OPC</w:t>
      </w:r>
      <w:proofErr w:type="spellEnd"/>
      <w:r w:rsidRPr="00FD274F">
        <w:t xml:space="preserve"> </w:t>
      </w:r>
      <w:r>
        <w:t>requires</w:t>
      </w:r>
      <w:r w:rsidRPr="00FD274F">
        <w:t xml:space="preserve"> early instructions that:</w:t>
      </w:r>
      <w:bookmarkEnd w:id="200"/>
    </w:p>
    <w:p w14:paraId="532964D3" w14:textId="77777777" w:rsidR="00E86304" w:rsidRPr="00FD274F" w:rsidRDefault="00E86304" w:rsidP="00E86304">
      <w:pPr>
        <w:pStyle w:val="BodyPara"/>
      </w:pPr>
      <w:r w:rsidRPr="00FD274F">
        <w:t>outline the preferred timing, including whether an exposure draft is required to assist consultation; and</w:t>
      </w:r>
    </w:p>
    <w:p w14:paraId="760DC2D3" w14:textId="77777777" w:rsidR="00E86304" w:rsidRPr="00FD274F" w:rsidRDefault="00E86304" w:rsidP="00E86304">
      <w:pPr>
        <w:pStyle w:val="BodyPara"/>
      </w:pPr>
      <w:r w:rsidRPr="00FD274F">
        <w:t>deal with any policy or other changes that are needed (such as deleti</w:t>
      </w:r>
      <w:r>
        <w:t>on of unwanted provisions); and</w:t>
      </w:r>
    </w:p>
    <w:p w14:paraId="08F80022" w14:textId="77777777" w:rsidR="00E86304" w:rsidRPr="00FD274F" w:rsidRDefault="00E86304" w:rsidP="00E86304">
      <w:pPr>
        <w:pStyle w:val="BodyPara"/>
      </w:pPr>
      <w:r w:rsidRPr="00FD274F">
        <w:t>confirm that the rest of the instrument is to remain the same in substance—</w:t>
      </w:r>
      <w:proofErr w:type="spellStart"/>
      <w:r w:rsidRPr="00FD274F">
        <w:t>OPC</w:t>
      </w:r>
      <w:proofErr w:type="spellEnd"/>
      <w:r w:rsidRPr="00FD274F">
        <w:t xml:space="preserve"> will modernise it without detailed instructions, if and as needed, in consultation with the agency.</w:t>
      </w:r>
    </w:p>
    <w:p w14:paraId="2D29C5FC" w14:textId="77777777" w:rsidR="00E86304" w:rsidRDefault="00E86304" w:rsidP="00E86304">
      <w:pPr>
        <w:pStyle w:val="BodyNum"/>
        <w:spacing w:before="200"/>
      </w:pPr>
      <w:r>
        <w:t xml:space="preserve">If an instrument is untied work, </w:t>
      </w:r>
      <w:proofErr w:type="spellStart"/>
      <w:r>
        <w:t>OPC</w:t>
      </w:r>
      <w:proofErr w:type="spellEnd"/>
      <w:r>
        <w:t xml:space="preserve"> may refuse to draft it if insufficient time has been left before sunsetting.</w:t>
      </w:r>
    </w:p>
    <w:p w14:paraId="369D1FC7" w14:textId="77777777" w:rsidR="00E86304" w:rsidRPr="00FD274F" w:rsidRDefault="00E86304" w:rsidP="00E86304">
      <w:pPr>
        <w:pStyle w:val="BodyNum"/>
        <w:spacing w:before="200"/>
      </w:pPr>
      <w:r w:rsidRPr="00FD274F">
        <w:lastRenderedPageBreak/>
        <w:t>Irrespective of who drafts it, a new instrument intended to replace a sunsetting instrument needs to contain the following to avoid confusion about what is intended and what is in force:</w:t>
      </w:r>
    </w:p>
    <w:p w14:paraId="44D8D6DB" w14:textId="77777777" w:rsidR="00E86304" w:rsidRPr="00FD274F" w:rsidRDefault="00E86304" w:rsidP="00E86304">
      <w:pPr>
        <w:pStyle w:val="BodyPara"/>
      </w:pPr>
      <w:r w:rsidRPr="00FD274F">
        <w:t>a new, unique name (e.g. the</w:t>
      </w:r>
      <w:r w:rsidRPr="00FD274F">
        <w:rPr>
          <w:i/>
        </w:rPr>
        <w:t xml:space="preserve"> Widgets Determination 20</w:t>
      </w:r>
      <w:r>
        <w:rPr>
          <w:i/>
        </w:rPr>
        <w:t>2</w:t>
      </w:r>
      <w:r w:rsidRPr="00FD274F">
        <w:rPr>
          <w:i/>
        </w:rPr>
        <w:t>7</w:t>
      </w:r>
      <w:r w:rsidRPr="00FD274F">
        <w:t xml:space="preserve"> whe</w:t>
      </w:r>
      <w:r>
        <w:t>re 2027 is the year of making);</w:t>
      </w:r>
    </w:p>
    <w:p w14:paraId="4DB766ED" w14:textId="77777777" w:rsidR="00E86304" w:rsidRPr="00FD274F" w:rsidRDefault="00E86304" w:rsidP="00E86304">
      <w:pPr>
        <w:pStyle w:val="BodyPara"/>
      </w:pPr>
      <w:r w:rsidRPr="00FD274F">
        <w:t>an express provision that states when the new instrument is to commence;</w:t>
      </w:r>
    </w:p>
    <w:p w14:paraId="0FF463FF" w14:textId="77777777" w:rsidR="00E86304" w:rsidRPr="00FD274F" w:rsidRDefault="00E86304" w:rsidP="00E86304">
      <w:pPr>
        <w:pStyle w:val="BodyPara"/>
      </w:pPr>
      <w:r w:rsidRPr="00FD274F">
        <w:t>an express provision that clearly identifies and repeals the sunsetting instrument or instruments (use of t</w:t>
      </w:r>
      <w:r>
        <w:t>he word “repeal” is important);</w:t>
      </w:r>
    </w:p>
    <w:p w14:paraId="2DACF592" w14:textId="77777777" w:rsidR="00E86304" w:rsidRPr="00FD274F" w:rsidRDefault="00E86304" w:rsidP="00E86304">
      <w:pPr>
        <w:pStyle w:val="BodyPara"/>
      </w:pPr>
      <w:r w:rsidRPr="00FD274F">
        <w:t>transitional provisions, if and as needed to transition things from being done under the sunsetting in</w:t>
      </w:r>
      <w:r>
        <w:t>strument to the new instrument.</w:t>
      </w:r>
    </w:p>
    <w:p w14:paraId="5F55A3E6" w14:textId="77777777" w:rsidR="00E86304" w:rsidRPr="00FD274F" w:rsidRDefault="00E86304" w:rsidP="00E86304">
      <w:pPr>
        <w:pStyle w:val="BodyNum"/>
        <w:keepLines/>
        <w:spacing w:before="200"/>
      </w:pPr>
      <w:r w:rsidRPr="00FD274F">
        <w:t xml:space="preserve">Other changes may also be necessary to meet current drafting and publishing standards. </w:t>
      </w:r>
      <w:r>
        <w:t>The person drafting the instrument</w:t>
      </w:r>
      <w:r w:rsidRPr="00FD274F">
        <w:t xml:space="preserve"> </w:t>
      </w:r>
      <w:r>
        <w:t xml:space="preserve">should </w:t>
      </w:r>
      <w:r w:rsidRPr="00FD274F">
        <w:t>check that each provision in the new instrument is supported by a head of power in current law, and should consider carefully any legal opinions that go to the effect or validity of existing provisions. Care is also needed if a sunsetting instrument:</w:t>
      </w:r>
    </w:p>
    <w:p w14:paraId="737DA1CB" w14:textId="77777777" w:rsidR="00E86304" w:rsidRPr="00FD274F" w:rsidRDefault="00E86304" w:rsidP="00E86304">
      <w:pPr>
        <w:pStyle w:val="BodyPara"/>
      </w:pPr>
      <w:r w:rsidRPr="00FD274F">
        <w:t>has enabled the making of another instrument that is still in force; or</w:t>
      </w:r>
    </w:p>
    <w:p w14:paraId="35B4D086" w14:textId="77777777" w:rsidR="00E86304" w:rsidRPr="00FD274F" w:rsidRDefault="00E86304" w:rsidP="00E86304">
      <w:pPr>
        <w:pStyle w:val="BodyPara"/>
      </w:pPr>
      <w:r w:rsidRPr="00FD274F">
        <w:t xml:space="preserve">incorporates documents other than Commonwealth Acts or disallowable legislative </w:t>
      </w:r>
      <w:r>
        <w:t>instruments by reference; or</w:t>
      </w:r>
    </w:p>
    <w:p w14:paraId="74B06E2E" w14:textId="77777777" w:rsidR="00E86304" w:rsidRPr="00FD274F" w:rsidRDefault="00E86304" w:rsidP="00E86304">
      <w:pPr>
        <w:pStyle w:val="BodyPara"/>
      </w:pPr>
      <w:r w:rsidRPr="00FD274F">
        <w:t>is cited in other l</w:t>
      </w:r>
      <w:r>
        <w:t>egislation that is in force; or</w:t>
      </w:r>
    </w:p>
    <w:p w14:paraId="2F7FE22F" w14:textId="77777777" w:rsidR="00E86304" w:rsidRPr="00FD274F" w:rsidRDefault="00E86304" w:rsidP="00E86304">
      <w:pPr>
        <w:pStyle w:val="BodyPara"/>
      </w:pPr>
      <w:r w:rsidRPr="00FD274F">
        <w:t>deals with a criminal offence, civil penalty or related enforcement issue; or</w:t>
      </w:r>
    </w:p>
    <w:p w14:paraId="5814E822" w14:textId="77777777" w:rsidR="00E86304" w:rsidRPr="00FD274F" w:rsidRDefault="00E86304" w:rsidP="00E86304">
      <w:pPr>
        <w:pStyle w:val="BodyPara"/>
      </w:pPr>
      <w:r w:rsidRPr="00FD274F">
        <w:t>contains gender</w:t>
      </w:r>
      <w:r>
        <w:noBreakHyphen/>
      </w:r>
      <w:r w:rsidRPr="00FD274F">
        <w:t>specific language.</w:t>
      </w:r>
    </w:p>
    <w:p w14:paraId="351A4FFF" w14:textId="77777777" w:rsidR="00E86304" w:rsidRPr="00FD274F" w:rsidRDefault="00E86304" w:rsidP="00E86304">
      <w:pPr>
        <w:pStyle w:val="BodyNum"/>
      </w:pPr>
      <w:r w:rsidRPr="00FD274F">
        <w:t>Further information on drafting issues is provided i</w:t>
      </w:r>
      <w:r w:rsidRPr="007869D8">
        <w:t xml:space="preserve">n </w:t>
      </w:r>
      <w:hyperlink w:anchor="Chapter3" w:history="1">
        <w:r w:rsidRPr="007869D8">
          <w:rPr>
            <w:rStyle w:val="Hyperlink"/>
          </w:rPr>
          <w:t>Chapter 3</w:t>
        </w:r>
      </w:hyperlink>
      <w:r w:rsidRPr="00FD274F">
        <w:t>.</w:t>
      </w:r>
    </w:p>
    <w:p w14:paraId="4D7BB5D7" w14:textId="77777777" w:rsidR="00E86304" w:rsidRPr="00FD274F" w:rsidRDefault="00E86304" w:rsidP="00E86304">
      <w:pPr>
        <w:pStyle w:val="Head4"/>
      </w:pPr>
      <w:r w:rsidRPr="00FD274F">
        <w:t xml:space="preserve">Scope to </w:t>
      </w:r>
      <w:r>
        <w:t>remake</w:t>
      </w:r>
      <w:r w:rsidRPr="00FD274F">
        <w:t xml:space="preserve"> instruments in bulk by reference</w:t>
      </w:r>
    </w:p>
    <w:p w14:paraId="1DFBC888" w14:textId="77777777" w:rsidR="00E86304" w:rsidRPr="00FD274F" w:rsidRDefault="00E86304" w:rsidP="00E86304">
      <w:pPr>
        <w:pStyle w:val="BodyNum"/>
      </w:pPr>
      <w:r w:rsidRPr="00FD274F">
        <w:t xml:space="preserve">It may be possible to remake instruments by reference, that is, without spelling out the full text of each replacement instrument. However, </w:t>
      </w:r>
      <w:r>
        <w:t xml:space="preserve">there is no known precedent for this and </w:t>
      </w:r>
      <w:r w:rsidRPr="00FD274F">
        <w:t>this approach has significant legal and practical limitations. It is only likely to be appropriate if the instruments to be remade:</w:t>
      </w:r>
    </w:p>
    <w:p w14:paraId="5F48D190" w14:textId="77777777" w:rsidR="00E86304" w:rsidRPr="00FD274F" w:rsidRDefault="00E86304" w:rsidP="00E86304">
      <w:pPr>
        <w:pStyle w:val="BodyPara"/>
      </w:pPr>
      <w:r w:rsidRPr="00FD274F">
        <w:t>are not likely to be of interest to the Parliament (e.g. because of their technical content); and</w:t>
      </w:r>
    </w:p>
    <w:p w14:paraId="079C5815" w14:textId="77777777" w:rsidR="00E86304" w:rsidRPr="00FD274F" w:rsidRDefault="00E86304" w:rsidP="00E86304">
      <w:pPr>
        <w:pStyle w:val="BodyPara"/>
      </w:pPr>
      <w:r w:rsidRPr="00FD274F">
        <w:t>are available on the Register “as amended” without a</w:t>
      </w:r>
      <w:r>
        <w:t>ny misdescribed amendments; and</w:t>
      </w:r>
    </w:p>
    <w:p w14:paraId="13EBDE25" w14:textId="77777777" w:rsidR="00E86304" w:rsidRPr="00FD274F" w:rsidRDefault="00E86304" w:rsidP="00E86304">
      <w:pPr>
        <w:pStyle w:val="BodyPara"/>
      </w:pPr>
      <w:r w:rsidRPr="00FD274F">
        <w:t>do not need to be amended substantially as part of the remaking processes.</w:t>
      </w:r>
    </w:p>
    <w:p w14:paraId="5AB5F3FA" w14:textId="77777777" w:rsidR="00E86304" w:rsidRPr="00FD274F" w:rsidRDefault="00E86304" w:rsidP="00E86304">
      <w:pPr>
        <w:pStyle w:val="BodyNum"/>
      </w:pPr>
      <w:r w:rsidRPr="00FD274F">
        <w:lastRenderedPageBreak/>
        <w:t>It should be noted that it is generally not possible for a single rule</w:t>
      </w:r>
      <w:r>
        <w:noBreakHyphen/>
      </w:r>
      <w:r w:rsidRPr="00FD274F">
        <w:t>maker such as a Minister to make a single instrument that remakes every instrument in a portfolio. In the absence of statutory authority, a Minister cannot, for example:</w:t>
      </w:r>
    </w:p>
    <w:p w14:paraId="115DA30D" w14:textId="77777777" w:rsidR="00E86304" w:rsidRPr="00FD274F" w:rsidRDefault="00E86304" w:rsidP="00E86304">
      <w:pPr>
        <w:pStyle w:val="BodyPara"/>
      </w:pPr>
      <w:r w:rsidRPr="00FD274F">
        <w:t>amend, repeal, or repeal and re</w:t>
      </w:r>
      <w:r>
        <w:t>place</w:t>
      </w:r>
      <w:r w:rsidRPr="00FD274F">
        <w:t>, a regulation or other instrument made by the Governor</w:t>
      </w:r>
      <w:r>
        <w:noBreakHyphen/>
      </w:r>
      <w:r w:rsidRPr="00FD274F">
        <w:t>General or other rule</w:t>
      </w:r>
      <w:r>
        <w:noBreakHyphen/>
      </w:r>
      <w:r w:rsidRPr="00FD274F">
        <w:t>maker; or</w:t>
      </w:r>
    </w:p>
    <w:p w14:paraId="5044EC68" w14:textId="77777777" w:rsidR="00E86304" w:rsidRPr="00FD274F" w:rsidRDefault="00E86304" w:rsidP="00E86304">
      <w:pPr>
        <w:pStyle w:val="BodyPara"/>
      </w:pPr>
      <w:r w:rsidRPr="00FD274F">
        <w:t>repeal and re</w:t>
      </w:r>
      <w:r>
        <w:t>place</w:t>
      </w:r>
      <w:r w:rsidRPr="00FD274F">
        <w:t xml:space="preserve"> one type of instrument (such as a guideline) using another type of instrument (such as a determination).</w:t>
      </w:r>
    </w:p>
    <w:p w14:paraId="7F2E44F1" w14:textId="77777777" w:rsidR="00E86304" w:rsidRPr="00FD274F" w:rsidRDefault="00E86304" w:rsidP="00E86304">
      <w:pPr>
        <w:pStyle w:val="BodyNum"/>
      </w:pPr>
      <w:r w:rsidRPr="00FD274F">
        <w:t>Even with instruments of the same type, separate re</w:t>
      </w:r>
      <w:r>
        <w:t>placement</w:t>
      </w:r>
      <w:r w:rsidRPr="00FD274F">
        <w:t xml:space="preserve"> instruments may be required for disallowable and non</w:t>
      </w:r>
      <w:r>
        <w:noBreakHyphen/>
      </w:r>
      <w:r w:rsidRPr="00FD274F">
        <w:t>disallowable instruments to avoid making non</w:t>
      </w:r>
      <w:r>
        <w:noBreakHyphen/>
      </w:r>
      <w:r w:rsidRPr="00FD274F">
        <w:t>disallowable instr</w:t>
      </w:r>
      <w:r>
        <w:t>uments subject to disallowance.</w:t>
      </w:r>
    </w:p>
    <w:p w14:paraId="2D17D8B9" w14:textId="77777777" w:rsidR="00E86304" w:rsidRPr="00FD274F" w:rsidRDefault="00E86304" w:rsidP="00E86304">
      <w:pPr>
        <w:pStyle w:val="BodyNum"/>
        <w:keepLines/>
      </w:pPr>
      <w:r w:rsidRPr="00FD274F">
        <w:t>Although it may be possible to remake instruments by reference with very minor changes, expert drafting will be required to minimise the risk of unintended consequences if anything more substantial is proposed. This may be particularly important if, for example, the instrument to be remade:</w:t>
      </w:r>
    </w:p>
    <w:p w14:paraId="06E1FEC3" w14:textId="77777777" w:rsidR="00E86304" w:rsidRPr="00FD274F" w:rsidRDefault="00E86304" w:rsidP="00E86304">
      <w:pPr>
        <w:pStyle w:val="BodyPara"/>
      </w:pPr>
      <w:r w:rsidRPr="00FD274F">
        <w:t>contains saving or transitional provisions; or</w:t>
      </w:r>
    </w:p>
    <w:p w14:paraId="26F7323E" w14:textId="77777777" w:rsidR="00E86304" w:rsidRPr="00FD274F" w:rsidRDefault="00E86304" w:rsidP="00E86304">
      <w:pPr>
        <w:pStyle w:val="BodyPara"/>
      </w:pPr>
      <w:r w:rsidRPr="00FD274F">
        <w:t>has been amended but no up</w:t>
      </w:r>
      <w:r>
        <w:noBreakHyphen/>
      </w:r>
      <w:r w:rsidRPr="00FD274F">
        <w:t>to</w:t>
      </w:r>
      <w:r>
        <w:noBreakHyphen/>
      </w:r>
      <w:r w:rsidRPr="00FD274F">
        <w:t xml:space="preserve">date compilation has been registered </w:t>
      </w:r>
      <w:r>
        <w:t>showing the text as amended; or</w:t>
      </w:r>
    </w:p>
    <w:p w14:paraId="744F3F39" w14:textId="77777777" w:rsidR="00E86304" w:rsidRPr="00FD274F" w:rsidRDefault="00E86304" w:rsidP="00E86304">
      <w:pPr>
        <w:pStyle w:val="BodyPara"/>
      </w:pPr>
      <w:r w:rsidRPr="00FD274F">
        <w:t>needs to be amended retrospectively, with changes applied to the instrument before its date of remaking.</w:t>
      </w:r>
    </w:p>
    <w:p w14:paraId="1F397195" w14:textId="77777777" w:rsidR="00E86304" w:rsidRPr="00FD274F" w:rsidRDefault="00E86304" w:rsidP="00E86304">
      <w:pPr>
        <w:pStyle w:val="BodyNum"/>
      </w:pPr>
      <w:bookmarkStart w:id="201" w:name="_Ref378080360"/>
      <w:r w:rsidRPr="00FD274F">
        <w:t>Each re</w:t>
      </w:r>
      <w:r>
        <w:t>placement</w:t>
      </w:r>
      <w:r w:rsidRPr="00FD274F">
        <w:t xml:space="preserve"> instrument must be registered before the relevant sunset date with an explanatory statement that meets all of the requirements for explanatory statements. In addition, a compilation of </w:t>
      </w:r>
      <w:r>
        <w:t>any</w:t>
      </w:r>
      <w:r w:rsidRPr="00FD274F">
        <w:t xml:space="preserve"> instrument that has been amended </w:t>
      </w:r>
      <w:r>
        <w:t xml:space="preserve">by the replacement instrument </w:t>
      </w:r>
      <w:r w:rsidRPr="00FD274F">
        <w:t>will also need to be prepared and registered as soon as practicable after the instrument is remade.</w:t>
      </w:r>
      <w:bookmarkEnd w:id="201"/>
    </w:p>
    <w:p w14:paraId="79C72EFA" w14:textId="77777777" w:rsidR="00E86304" w:rsidRPr="00FD274F" w:rsidRDefault="00E86304" w:rsidP="00E86304">
      <w:pPr>
        <w:pStyle w:val="Head3"/>
      </w:pPr>
      <w:bookmarkStart w:id="202" w:name="_Toc238117586"/>
      <w:r w:rsidRPr="00FD274F">
        <w:t xml:space="preserve">If an instrument cannot be </w:t>
      </w:r>
      <w:r>
        <w:t>replaced</w:t>
      </w:r>
      <w:r w:rsidRPr="00FD274F">
        <w:t xml:space="preserve"> before it sunsets</w:t>
      </w:r>
      <w:bookmarkEnd w:id="202"/>
    </w:p>
    <w:p w14:paraId="69622275" w14:textId="77777777" w:rsidR="00E86304" w:rsidRPr="00FD274F" w:rsidRDefault="00E86304" w:rsidP="00E86304">
      <w:pPr>
        <w:pStyle w:val="BodyNum"/>
      </w:pPr>
      <w:r w:rsidRPr="00FD274F">
        <w:t>If an instrument cannot be re</w:t>
      </w:r>
      <w:r>
        <w:t>placed</w:t>
      </w:r>
      <w:r w:rsidRPr="00FD274F">
        <w:t xml:space="preserve"> before it sunsets, there are only three options for ensuring or restoring continuity of the law.</w:t>
      </w:r>
    </w:p>
    <w:p w14:paraId="74D0C33C" w14:textId="77777777" w:rsidR="00E86304" w:rsidRPr="00FD274F" w:rsidRDefault="00E86304" w:rsidP="00E86304">
      <w:pPr>
        <w:pStyle w:val="BodyNum"/>
      </w:pPr>
      <w:r w:rsidRPr="00FD274F">
        <w:t>First, if an urgent and unavoidable issue emerges before the sunset date that prevents an instrument being remade, it may be possible to obtain a 6</w:t>
      </w:r>
      <w:r>
        <w:t>, 12, 18 or 24</w:t>
      </w:r>
      <w:r w:rsidRPr="00FD274F">
        <w:t xml:space="preserve"> month deferral of its sunset date by </w:t>
      </w:r>
      <w:r>
        <w:t xml:space="preserve">the issuing of </w:t>
      </w:r>
      <w:r w:rsidRPr="00FD274F">
        <w:t>an Attorney</w:t>
      </w:r>
      <w:r>
        <w:noBreakHyphen/>
      </w:r>
      <w:r w:rsidRPr="00FD274F">
        <w:t xml:space="preserve">General’s certificate under </w:t>
      </w:r>
      <w:r w:rsidRPr="00DD1ADC">
        <w:t xml:space="preserve">section 51 of the </w:t>
      </w:r>
      <w:hyperlink r:id="rId591" w:history="1">
        <w:hyperlink r:id="rId592" w:history="1">
          <w:hyperlink r:id="rId593" w:history="1">
            <w:r w:rsidRPr="00DD1ADC">
              <w:rPr>
                <w:rStyle w:val="Hyperlink"/>
              </w:rPr>
              <w:t>LA</w:t>
            </w:r>
          </w:hyperlink>
        </w:hyperlink>
      </w:hyperlink>
      <w:r w:rsidRPr="00DD1ADC">
        <w:t>.</w:t>
      </w:r>
      <w:r w:rsidRPr="00FD274F">
        <w:t xml:space="preserve"> For further guidance on section 51 certifica</w:t>
      </w:r>
      <w:r w:rsidRPr="007869D8">
        <w:t xml:space="preserve">tes, see paragraph </w:t>
      </w:r>
      <w:r w:rsidRPr="00FD6A45">
        <w:rPr>
          <w:highlight w:val="yellow"/>
        </w:rPr>
        <w:fldChar w:fldCharType="begin"/>
      </w:r>
      <w:r w:rsidRPr="007869D8">
        <w:instrText xml:space="preserve"> REF _Ref367446626 \r \h </w:instrText>
      </w:r>
      <w:r>
        <w:rPr>
          <w:highlight w:val="yellow"/>
        </w:rPr>
        <w:instrText xml:space="preserve"> \* MERGEFORMAT </w:instrText>
      </w:r>
      <w:r w:rsidRPr="00FD6A45">
        <w:rPr>
          <w:highlight w:val="yellow"/>
        </w:rPr>
      </w:r>
      <w:r w:rsidRPr="00FD6A45">
        <w:rPr>
          <w:highlight w:val="yellow"/>
        </w:rPr>
        <w:fldChar w:fldCharType="separate"/>
      </w:r>
      <w:r>
        <w:t>342</w:t>
      </w:r>
      <w:r w:rsidRPr="00FD6A45">
        <w:rPr>
          <w:highlight w:val="yellow"/>
        </w:rPr>
        <w:fldChar w:fldCharType="end"/>
      </w:r>
      <w:r w:rsidRPr="007869D8">
        <w:t>.</w:t>
      </w:r>
    </w:p>
    <w:p w14:paraId="07DEC1BF" w14:textId="77777777" w:rsidR="00E86304" w:rsidRPr="00FD274F" w:rsidRDefault="00E86304" w:rsidP="00E86304">
      <w:pPr>
        <w:pStyle w:val="BodyNum"/>
      </w:pPr>
      <w:r w:rsidRPr="00FD274F">
        <w:t xml:space="preserve">Second, if the original instrument has </w:t>
      </w:r>
      <w:proofErr w:type="spellStart"/>
      <w:r w:rsidRPr="00FD274F">
        <w:t>sunsetted</w:t>
      </w:r>
      <w:proofErr w:type="spellEnd"/>
      <w:r w:rsidRPr="00FD274F">
        <w:t>, a replacement instrument should be made as soon as practicable. It might be possible to backdate the commencement to the relevant sunset date</w:t>
      </w:r>
      <w:r w:rsidRPr="007869D8">
        <w:t>, bu</w:t>
      </w:r>
      <w:r w:rsidRPr="00FD274F">
        <w:t xml:space="preserve">t please seek legal advice before attempting </w:t>
      </w:r>
      <w:r>
        <w:t>to commence or apply an instrument retrospectively</w:t>
      </w:r>
      <w:r w:rsidRPr="00FD274F">
        <w:t xml:space="preserve"> </w:t>
      </w:r>
      <w:r w:rsidRPr="007869D8">
        <w:t xml:space="preserve">(see paragraph </w:t>
      </w:r>
      <w:r>
        <w:fldChar w:fldCharType="begin"/>
      </w:r>
      <w:r>
        <w:instrText xml:space="preserve"> REF _Ref112862478 \r \h </w:instrText>
      </w:r>
      <w:r>
        <w:fldChar w:fldCharType="separate"/>
      </w:r>
      <w:r>
        <w:t>74</w:t>
      </w:r>
      <w:r>
        <w:fldChar w:fldCharType="end"/>
      </w:r>
      <w:r w:rsidRPr="007869D8">
        <w:t>)</w:t>
      </w:r>
      <w:r w:rsidRPr="00FD274F">
        <w:t xml:space="preserve">. Note also that retrospectivity may attract adverse comment from bodies such as </w:t>
      </w:r>
      <w:r>
        <w:t>the SDLC</w:t>
      </w:r>
      <w:r w:rsidRPr="00FD274F">
        <w:rPr>
          <w:color w:val="000000" w:themeColor="text1"/>
        </w:rPr>
        <w:t>).</w:t>
      </w:r>
    </w:p>
    <w:p w14:paraId="07BB7410" w14:textId="77777777" w:rsidR="00E86304" w:rsidRPr="00FD274F" w:rsidRDefault="00E86304" w:rsidP="00E86304">
      <w:pPr>
        <w:pStyle w:val="BodyNum"/>
      </w:pPr>
      <w:r w:rsidRPr="00FD274F">
        <w:lastRenderedPageBreak/>
        <w:t>Finally, if a replacement instrument cannot be made retrospectively, an Act of the Parliament may be required to remedy the situation. However, this should only be considered if all other op</w:t>
      </w:r>
      <w:r w:rsidRPr="00FD274F">
        <w:rPr>
          <w:color w:val="000000" w:themeColor="text1"/>
        </w:rPr>
        <w:t>tions have been exhausted. For more information on what is involved, see the Legislation Handbook</w:t>
      </w:r>
      <w:r w:rsidRPr="00FD274F">
        <w:rPr>
          <w:rStyle w:val="FootnoteReference"/>
          <w:color w:val="000000" w:themeColor="text1"/>
        </w:rPr>
        <w:footnoteReference w:id="52"/>
      </w:r>
      <w:r w:rsidRPr="00FD274F">
        <w:rPr>
          <w:color w:val="000000" w:themeColor="text1"/>
        </w:rPr>
        <w:t>.</w:t>
      </w:r>
    </w:p>
    <w:p w14:paraId="3D603BB7" w14:textId="77777777" w:rsidR="00E86304" w:rsidRPr="00FD274F" w:rsidRDefault="00E86304" w:rsidP="00E86304">
      <w:pPr>
        <w:pStyle w:val="BodyNum"/>
      </w:pPr>
      <w:r w:rsidRPr="00FD274F">
        <w:t xml:space="preserve">For assistance with any of these options, please contact </w:t>
      </w:r>
      <w:proofErr w:type="spellStart"/>
      <w:r w:rsidRPr="00DD1ADC">
        <w:t>OPC</w:t>
      </w:r>
      <w:proofErr w:type="spellEnd"/>
      <w:r w:rsidRPr="00DD1ADC">
        <w:t xml:space="preserve"> by email at </w:t>
      </w:r>
      <w:hyperlink r:id="rId594" w:history="1">
        <w:r w:rsidRPr="00DD1ADC">
          <w:rPr>
            <w:rStyle w:val="Hyperlink"/>
          </w:rPr>
          <w:t>instrument.instructions@opc.gov.au</w:t>
        </w:r>
      </w:hyperlink>
      <w:r w:rsidRPr="00DD1ADC">
        <w:t xml:space="preserve"> o</w:t>
      </w:r>
      <w:r w:rsidRPr="00FD274F">
        <w:t xml:space="preserve">r contact </w:t>
      </w:r>
      <w:proofErr w:type="spellStart"/>
      <w:r>
        <w:t>O</w:t>
      </w:r>
      <w:r w:rsidRPr="00961F7C">
        <w:t>PC’s</w:t>
      </w:r>
      <w:proofErr w:type="spellEnd"/>
      <w:r>
        <w:t xml:space="preserve"> </w:t>
      </w:r>
      <w:hyperlink r:id="rId595" w:history="1">
        <w:r>
          <w:rPr>
            <w:rStyle w:val="Hyperlink"/>
          </w:rPr>
          <w:t>instrument client advisers</w:t>
        </w:r>
      </w:hyperlink>
      <w:r w:rsidRPr="00DD1ADC">
        <w:t>.</w:t>
      </w:r>
    </w:p>
    <w:p w14:paraId="2FDFB446" w14:textId="77777777" w:rsidR="00E86304" w:rsidRDefault="00E86304" w:rsidP="00E86304">
      <w:pPr>
        <w:pStyle w:val="Head2"/>
        <w:sectPr w:rsidR="00E86304" w:rsidSect="00E86304">
          <w:headerReference w:type="default" r:id="rId596"/>
          <w:footerReference w:type="default" r:id="rId597"/>
          <w:pgSz w:w="11907" w:h="16839" w:code="9"/>
          <w:pgMar w:top="1440" w:right="1440" w:bottom="1418" w:left="1440" w:header="720" w:footer="720" w:gutter="0"/>
          <w:cols w:sep="1" w:space="567"/>
          <w:docGrid w:linePitch="360"/>
        </w:sectPr>
      </w:pPr>
    </w:p>
    <w:p w14:paraId="34139E46" w14:textId="77777777" w:rsidR="00E86304" w:rsidRDefault="00E86304" w:rsidP="00E86304">
      <w:pPr>
        <w:pStyle w:val="Head2"/>
      </w:pPr>
      <w:bookmarkStart w:id="203" w:name="_Toc238117587"/>
      <w:r>
        <w:lastRenderedPageBreak/>
        <w:t>Appendix A—Sunsetting Checklist</w:t>
      </w:r>
      <w:bookmarkEnd w:id="203"/>
    </w:p>
    <w:p w14:paraId="6FABA9C9" w14:textId="77777777" w:rsidR="00E86304" w:rsidRPr="00D67E97" w:rsidRDefault="00E86304" w:rsidP="00E86304">
      <w:pPr>
        <w:pStyle w:val="BodyNum"/>
        <w:numPr>
          <w:ilvl w:val="0"/>
          <w:numId w:val="5"/>
        </w:numPr>
        <w:ind w:left="709" w:hanging="709"/>
        <w:rPr>
          <w:sz w:val="28"/>
          <w:szCs w:val="26"/>
        </w:rPr>
      </w:pPr>
      <w:r w:rsidRPr="00D67E97">
        <w:rPr>
          <w:sz w:val="28"/>
          <w:szCs w:val="26"/>
        </w:rPr>
        <w:t>Does the instrument pass the fit</w:t>
      </w:r>
      <w:r>
        <w:rPr>
          <w:sz w:val="28"/>
          <w:szCs w:val="26"/>
        </w:rPr>
        <w:noBreakHyphen/>
      </w:r>
      <w:r w:rsidRPr="00D67E97">
        <w:rPr>
          <w:sz w:val="28"/>
          <w:szCs w:val="26"/>
        </w:rPr>
        <w:t>for</w:t>
      </w:r>
      <w:r>
        <w:rPr>
          <w:sz w:val="28"/>
          <w:szCs w:val="26"/>
        </w:rPr>
        <w:noBreakHyphen/>
      </w:r>
      <w:r w:rsidRPr="00D67E97">
        <w:rPr>
          <w:sz w:val="28"/>
          <w:szCs w:val="26"/>
        </w:rPr>
        <w:t>purpose test (see the AGD Guide to Managing Sunsetting of Legislative Instruments)?</w:t>
      </w:r>
    </w:p>
    <w:p w14:paraId="279D735D" w14:textId="77777777" w:rsidR="00E86304" w:rsidRPr="00D67E97" w:rsidRDefault="00E86304" w:rsidP="00E86304">
      <w:pPr>
        <w:pStyle w:val="BodyNum"/>
        <w:numPr>
          <w:ilvl w:val="0"/>
          <w:numId w:val="5"/>
        </w:numPr>
        <w:ind w:left="709" w:hanging="709"/>
        <w:rPr>
          <w:sz w:val="28"/>
          <w:szCs w:val="26"/>
        </w:rPr>
      </w:pPr>
      <w:r w:rsidRPr="00D67E97">
        <w:rPr>
          <w:sz w:val="28"/>
          <w:szCs w:val="26"/>
        </w:rPr>
        <w:t>Is the policy of each provision still necessary and appropriate?</w:t>
      </w:r>
    </w:p>
    <w:p w14:paraId="5E5F8DA0" w14:textId="77777777" w:rsidR="00E86304" w:rsidRPr="002940F0" w:rsidRDefault="00E86304" w:rsidP="00E86304">
      <w:pPr>
        <w:pStyle w:val="BodyNum"/>
        <w:numPr>
          <w:ilvl w:val="0"/>
          <w:numId w:val="5"/>
        </w:numPr>
        <w:ind w:left="709" w:hanging="709"/>
        <w:rPr>
          <w:sz w:val="26"/>
          <w:szCs w:val="26"/>
        </w:rPr>
      </w:pPr>
      <w:r w:rsidRPr="00D67E97">
        <w:rPr>
          <w:sz w:val="28"/>
          <w:szCs w:val="26"/>
        </w:rPr>
        <w:t>Is each provision of the instrument supported by an appropriate head of power in the enabling legislation?</w:t>
      </w:r>
      <w:r w:rsidRPr="00D67E97">
        <w:rPr>
          <w:sz w:val="28"/>
          <w:szCs w:val="26"/>
        </w:rPr>
        <w:br/>
      </w:r>
      <w:r w:rsidRPr="00D67E97">
        <w:rPr>
          <w:sz w:val="22"/>
          <w:szCs w:val="22"/>
        </w:rPr>
        <w:t xml:space="preserve">The instrument might not explicitly refer to the head of power under which the provision is made. If so, you might need to speak to a drafter in </w:t>
      </w:r>
      <w:proofErr w:type="spellStart"/>
      <w:r w:rsidRPr="00D67E97">
        <w:rPr>
          <w:sz w:val="22"/>
          <w:szCs w:val="22"/>
        </w:rPr>
        <w:t>OPC</w:t>
      </w:r>
      <w:proofErr w:type="spellEnd"/>
      <w:r w:rsidRPr="00D67E97">
        <w:rPr>
          <w:sz w:val="22"/>
          <w:szCs w:val="22"/>
        </w:rPr>
        <w:t xml:space="preserve"> or seek legal advice.</w:t>
      </w:r>
    </w:p>
    <w:p w14:paraId="12C920F9" w14:textId="77777777" w:rsidR="00E86304" w:rsidRPr="00D67E97" w:rsidRDefault="00E86304" w:rsidP="00E86304">
      <w:pPr>
        <w:pStyle w:val="BodyNum"/>
        <w:numPr>
          <w:ilvl w:val="0"/>
          <w:numId w:val="5"/>
        </w:numPr>
        <w:ind w:left="709" w:hanging="709"/>
        <w:rPr>
          <w:sz w:val="28"/>
          <w:szCs w:val="26"/>
        </w:rPr>
      </w:pPr>
      <w:r w:rsidRPr="00D67E97">
        <w:rPr>
          <w:sz w:val="28"/>
          <w:szCs w:val="26"/>
        </w:rPr>
        <w:t>Are all references in the instrument to the following still appropriate and correct:</w:t>
      </w:r>
    </w:p>
    <w:p w14:paraId="4902AEDF" w14:textId="77777777" w:rsidR="00E86304" w:rsidRPr="00D67E97" w:rsidRDefault="00E86304" w:rsidP="00E86304">
      <w:pPr>
        <w:pStyle w:val="BodyNum"/>
        <w:numPr>
          <w:ilvl w:val="1"/>
          <w:numId w:val="4"/>
        </w:numPr>
        <w:spacing w:before="120"/>
        <w:rPr>
          <w:sz w:val="28"/>
          <w:szCs w:val="26"/>
        </w:rPr>
      </w:pPr>
      <w:r w:rsidRPr="00D67E97">
        <w:rPr>
          <w:sz w:val="28"/>
          <w:szCs w:val="26"/>
        </w:rPr>
        <w:t>references to laws or other instruments;</w:t>
      </w:r>
    </w:p>
    <w:p w14:paraId="06FB869E" w14:textId="77777777" w:rsidR="00E86304" w:rsidRPr="00D67E97" w:rsidRDefault="00E86304" w:rsidP="00E86304">
      <w:pPr>
        <w:pStyle w:val="BodyNum"/>
        <w:numPr>
          <w:ilvl w:val="1"/>
          <w:numId w:val="4"/>
        </w:numPr>
        <w:spacing w:before="120"/>
        <w:rPr>
          <w:sz w:val="28"/>
          <w:szCs w:val="26"/>
        </w:rPr>
      </w:pPr>
      <w:r w:rsidRPr="00D67E97">
        <w:rPr>
          <w:sz w:val="28"/>
          <w:szCs w:val="26"/>
        </w:rPr>
        <w:t>references to persons, organisations or bodies.</w:t>
      </w:r>
    </w:p>
    <w:p w14:paraId="7A681A8F" w14:textId="77777777" w:rsidR="00E86304" w:rsidRPr="00D67E97" w:rsidRDefault="00E86304" w:rsidP="00E86304">
      <w:pPr>
        <w:pStyle w:val="Body"/>
        <w:spacing w:before="120"/>
        <w:ind w:left="709"/>
        <w:rPr>
          <w:sz w:val="22"/>
          <w:szCs w:val="26"/>
        </w:rPr>
      </w:pPr>
      <w:r w:rsidRPr="00D67E97">
        <w:rPr>
          <w:sz w:val="22"/>
          <w:szCs w:val="26"/>
        </w:rPr>
        <w:t>This might require checking those references in the laws of the Commonwealth, a State or a Territory, or in instruments made by another person, organisation or body.</w:t>
      </w:r>
    </w:p>
    <w:p w14:paraId="06CFE4E0" w14:textId="77777777" w:rsidR="00E86304" w:rsidRPr="00553A4A" w:rsidRDefault="00E86304" w:rsidP="00E86304">
      <w:pPr>
        <w:pStyle w:val="BodyNum"/>
        <w:numPr>
          <w:ilvl w:val="0"/>
          <w:numId w:val="5"/>
        </w:numPr>
        <w:ind w:left="709" w:hanging="709"/>
        <w:rPr>
          <w:sz w:val="28"/>
          <w:szCs w:val="26"/>
        </w:rPr>
      </w:pPr>
      <w:r w:rsidRPr="00553A4A">
        <w:rPr>
          <w:sz w:val="28"/>
          <w:szCs w:val="26"/>
        </w:rPr>
        <w:t xml:space="preserve">Does each provision of the instrument meet </w:t>
      </w:r>
      <w:proofErr w:type="spellStart"/>
      <w:r w:rsidRPr="00553A4A">
        <w:rPr>
          <w:sz w:val="28"/>
          <w:szCs w:val="26"/>
        </w:rPr>
        <w:t>OPC</w:t>
      </w:r>
      <w:proofErr w:type="spellEnd"/>
      <w:r w:rsidRPr="00553A4A">
        <w:rPr>
          <w:sz w:val="28"/>
          <w:szCs w:val="26"/>
        </w:rPr>
        <w:t xml:space="preserve"> drafting and publishing standards?</w:t>
      </w:r>
    </w:p>
    <w:p w14:paraId="708C21D7" w14:textId="77777777" w:rsidR="00E86304" w:rsidRPr="00553A4A" w:rsidRDefault="00E86304" w:rsidP="00E86304">
      <w:pPr>
        <w:pStyle w:val="BodyNum"/>
        <w:numPr>
          <w:ilvl w:val="0"/>
          <w:numId w:val="5"/>
        </w:numPr>
        <w:ind w:left="709" w:hanging="709"/>
        <w:rPr>
          <w:sz w:val="28"/>
          <w:szCs w:val="26"/>
        </w:rPr>
      </w:pPr>
      <w:r w:rsidRPr="00553A4A">
        <w:rPr>
          <w:sz w:val="28"/>
          <w:szCs w:val="26"/>
        </w:rPr>
        <w:t>Are any application, transitional or savings issues raised by repealing the instrument?</w:t>
      </w:r>
    </w:p>
    <w:p w14:paraId="4AFB2559" w14:textId="77777777" w:rsidR="00E86304" w:rsidRPr="00553A4A" w:rsidRDefault="00E86304" w:rsidP="00E86304">
      <w:pPr>
        <w:pStyle w:val="BodyNum"/>
        <w:numPr>
          <w:ilvl w:val="0"/>
          <w:numId w:val="5"/>
        </w:numPr>
        <w:ind w:left="709" w:hanging="709"/>
        <w:rPr>
          <w:sz w:val="28"/>
          <w:szCs w:val="26"/>
        </w:rPr>
      </w:pPr>
      <w:r w:rsidRPr="00553A4A">
        <w:rPr>
          <w:sz w:val="28"/>
          <w:szCs w:val="26"/>
        </w:rPr>
        <w:t xml:space="preserve">If the instrument is not to be </w:t>
      </w:r>
      <w:r>
        <w:rPr>
          <w:sz w:val="28"/>
          <w:szCs w:val="26"/>
        </w:rPr>
        <w:t>replaced</w:t>
      </w:r>
      <w:r w:rsidRPr="00553A4A">
        <w:rPr>
          <w:sz w:val="28"/>
          <w:szCs w:val="26"/>
        </w:rPr>
        <w:t>, has the instrument been repealed?</w:t>
      </w:r>
    </w:p>
    <w:p w14:paraId="1FD4A512" w14:textId="77777777" w:rsidR="00E86304" w:rsidRPr="00553A4A" w:rsidRDefault="00E86304" w:rsidP="00E86304">
      <w:pPr>
        <w:pStyle w:val="BodyNum"/>
        <w:numPr>
          <w:ilvl w:val="0"/>
          <w:numId w:val="5"/>
        </w:numPr>
        <w:ind w:left="709" w:hanging="709"/>
        <w:rPr>
          <w:sz w:val="28"/>
          <w:szCs w:val="26"/>
        </w:rPr>
      </w:pPr>
      <w:r w:rsidRPr="00553A4A">
        <w:rPr>
          <w:sz w:val="28"/>
          <w:szCs w:val="26"/>
        </w:rPr>
        <w:t xml:space="preserve">If the instrument is to be </w:t>
      </w:r>
      <w:r>
        <w:rPr>
          <w:sz w:val="28"/>
          <w:szCs w:val="26"/>
        </w:rPr>
        <w:t>replaced</w:t>
      </w:r>
      <w:r w:rsidRPr="00553A4A">
        <w:rPr>
          <w:sz w:val="28"/>
          <w:szCs w:val="26"/>
        </w:rPr>
        <w:t>, have all prerequisites required by the enabling legislation before making the new instrument been complied with?</w:t>
      </w:r>
    </w:p>
    <w:p w14:paraId="3BCD5FEF" w14:textId="77777777" w:rsidR="00E86304" w:rsidRPr="00553A4A" w:rsidRDefault="00E86304" w:rsidP="00E86304">
      <w:pPr>
        <w:pStyle w:val="BodyNum"/>
        <w:numPr>
          <w:ilvl w:val="0"/>
          <w:numId w:val="5"/>
        </w:numPr>
        <w:ind w:left="709" w:hanging="709"/>
        <w:rPr>
          <w:sz w:val="28"/>
          <w:szCs w:val="26"/>
        </w:rPr>
      </w:pPr>
      <w:r w:rsidRPr="00553A4A">
        <w:rPr>
          <w:sz w:val="28"/>
          <w:szCs w:val="26"/>
        </w:rPr>
        <w:t xml:space="preserve">If the instrument is to be </w:t>
      </w:r>
      <w:r>
        <w:rPr>
          <w:sz w:val="28"/>
          <w:szCs w:val="26"/>
        </w:rPr>
        <w:t>replaced</w:t>
      </w:r>
      <w:r w:rsidRPr="00553A4A">
        <w:rPr>
          <w:sz w:val="28"/>
          <w:szCs w:val="26"/>
        </w:rPr>
        <w:t>, does the new instrument have a unique name, and a commencement provision?</w:t>
      </w:r>
    </w:p>
    <w:p w14:paraId="50E616BC" w14:textId="77777777" w:rsidR="00E86304" w:rsidRPr="00553A4A" w:rsidRDefault="00E86304" w:rsidP="00E86304">
      <w:pPr>
        <w:pStyle w:val="BodyNum"/>
        <w:numPr>
          <w:ilvl w:val="0"/>
          <w:numId w:val="5"/>
        </w:numPr>
        <w:ind w:left="709" w:hanging="709"/>
        <w:rPr>
          <w:sz w:val="28"/>
          <w:szCs w:val="26"/>
        </w:rPr>
      </w:pPr>
      <w:r w:rsidRPr="00553A4A">
        <w:rPr>
          <w:sz w:val="28"/>
          <w:szCs w:val="26"/>
        </w:rPr>
        <w:t>Have you considered the power to make any instruments that are made under the legislative instrument, and the character of those instruments?</w:t>
      </w:r>
    </w:p>
    <w:p w14:paraId="26030C01" w14:textId="77777777" w:rsidR="00E86304" w:rsidRPr="00553A4A" w:rsidRDefault="00E86304" w:rsidP="00E86304">
      <w:pPr>
        <w:pStyle w:val="BodyNum"/>
        <w:numPr>
          <w:ilvl w:val="0"/>
          <w:numId w:val="5"/>
        </w:numPr>
        <w:ind w:left="709" w:hanging="709"/>
        <w:rPr>
          <w:sz w:val="28"/>
          <w:szCs w:val="26"/>
        </w:rPr>
      </w:pPr>
      <w:r w:rsidRPr="00553A4A">
        <w:rPr>
          <w:sz w:val="28"/>
          <w:szCs w:val="26"/>
        </w:rPr>
        <w:t>Are any consequential amendments required to any other instruments because the instrument is to sunset or be re</w:t>
      </w:r>
      <w:r>
        <w:rPr>
          <w:sz w:val="28"/>
          <w:szCs w:val="26"/>
        </w:rPr>
        <w:t>placed</w:t>
      </w:r>
      <w:r w:rsidRPr="00553A4A">
        <w:rPr>
          <w:sz w:val="28"/>
          <w:szCs w:val="26"/>
        </w:rPr>
        <w:t>?</w:t>
      </w:r>
    </w:p>
    <w:p w14:paraId="5DF056CE" w14:textId="77777777" w:rsidR="00E86304" w:rsidRDefault="00E86304" w:rsidP="00E86304">
      <w:pPr>
        <w:sectPr w:rsidR="00E86304" w:rsidSect="00E86304">
          <w:headerReference w:type="default" r:id="rId598"/>
          <w:footerReference w:type="default" r:id="rId599"/>
          <w:pgSz w:w="11907" w:h="16839" w:code="9"/>
          <w:pgMar w:top="1440" w:right="1440" w:bottom="1418" w:left="1440" w:header="720" w:footer="720" w:gutter="0"/>
          <w:cols w:sep="1" w:space="567"/>
          <w:docGrid w:linePitch="360"/>
        </w:sectPr>
      </w:pPr>
    </w:p>
    <w:p w14:paraId="683F11DF" w14:textId="77777777" w:rsidR="00E86304" w:rsidRPr="00FD274F" w:rsidRDefault="00E86304" w:rsidP="00E86304">
      <w:pPr>
        <w:pStyle w:val="Head2"/>
      </w:pPr>
      <w:bookmarkStart w:id="204" w:name="_Toc238117588"/>
      <w:bookmarkStart w:id="205" w:name="_Hlk175125165"/>
      <w:r w:rsidRPr="00FD274F">
        <w:lastRenderedPageBreak/>
        <w:t>Further reading</w:t>
      </w:r>
      <w:bookmarkEnd w:id="204"/>
    </w:p>
    <w:p w14:paraId="569D8D93" w14:textId="77777777" w:rsidR="00E86304" w:rsidRPr="00FD274F" w:rsidRDefault="00E86304" w:rsidP="00E86304">
      <w:pPr>
        <w:pStyle w:val="Head3"/>
      </w:pPr>
      <w:bookmarkStart w:id="206" w:name="_Toc238117589"/>
      <w:r w:rsidRPr="002F14DE">
        <w:t>Key legislation</w:t>
      </w:r>
      <w:bookmarkEnd w:id="206"/>
    </w:p>
    <w:p w14:paraId="754D1A03" w14:textId="77777777" w:rsidR="00E86304" w:rsidRPr="00B8489F" w:rsidRDefault="00E86304" w:rsidP="00E86304">
      <w:pPr>
        <w:pStyle w:val="Body"/>
        <w:spacing w:before="120"/>
        <w:contextualSpacing/>
        <w:rPr>
          <w:i/>
          <w:iCs/>
          <w:color w:val="0000FF"/>
        </w:rPr>
      </w:pPr>
      <w:hyperlink r:id="rId600" w:history="1">
        <w:hyperlink r:id="rId601" w:history="1">
          <w:r w:rsidRPr="00FD274F">
            <w:rPr>
              <w:rStyle w:val="Hyperlink"/>
              <w:i/>
            </w:rPr>
            <w:t>Acts Interpretation Act 1901</w:t>
          </w:r>
        </w:hyperlink>
      </w:hyperlink>
      <w:r>
        <w:rPr>
          <w:rStyle w:val="Hyperlink"/>
          <w:i/>
        </w:rPr>
        <w:br/>
      </w:r>
      <w:hyperlink r:id="rId602" w:history="1">
        <w:r w:rsidRPr="00FD274F">
          <w:rPr>
            <w:rStyle w:val="Hyperlink"/>
            <w:i/>
          </w:rPr>
          <w:t>Legislation Act 2003</w:t>
        </w:r>
      </w:hyperlink>
      <w:r>
        <w:rPr>
          <w:rStyle w:val="Hyperlink"/>
          <w:i/>
        </w:rPr>
        <w:br/>
      </w:r>
      <w:hyperlink r:id="rId603" w:history="1">
        <w:r w:rsidRPr="00FD274F">
          <w:rPr>
            <w:rStyle w:val="Hyperlink"/>
            <w:i/>
          </w:rPr>
          <w:t>Legislation (Exemptions and Other Matters) Regulation 2015</w:t>
        </w:r>
      </w:hyperlink>
      <w:r w:rsidRPr="00FD274F">
        <w:rPr>
          <w:rStyle w:val="Hyperlink"/>
          <w:i/>
        </w:rPr>
        <w:br/>
      </w:r>
      <w:hyperlink r:id="rId604" w:history="1">
        <w:r w:rsidRPr="00BD6320">
          <w:rPr>
            <w:rStyle w:val="Hyperlink"/>
            <w:i/>
            <w:iCs/>
          </w:rPr>
          <w:t>Legislation Rules 2026</w:t>
        </w:r>
      </w:hyperlink>
    </w:p>
    <w:p w14:paraId="29EBEE96" w14:textId="77777777" w:rsidR="00E86304" w:rsidRPr="00FD274F" w:rsidRDefault="00E86304" w:rsidP="00E86304">
      <w:pPr>
        <w:pStyle w:val="Head3"/>
        <w:spacing w:before="360"/>
      </w:pPr>
      <w:bookmarkStart w:id="207" w:name="_Toc238117590"/>
      <w:r w:rsidRPr="002F14DE">
        <w:t>Guidance material</w:t>
      </w:r>
      <w:bookmarkEnd w:id="207"/>
    </w:p>
    <w:p w14:paraId="5B2CAFF5" w14:textId="77777777" w:rsidR="00E86304" w:rsidRPr="00FD274F" w:rsidRDefault="00E86304" w:rsidP="00E86304">
      <w:pPr>
        <w:pStyle w:val="Body"/>
        <w:spacing w:before="120"/>
        <w:rPr>
          <w:rStyle w:val="Hyperlink"/>
          <w:color w:val="auto"/>
        </w:rPr>
      </w:pPr>
      <w:r w:rsidRPr="00FD274F">
        <w:t>AGD guidance on human righ</w:t>
      </w:r>
      <w:r>
        <w:t>ts scrutiny</w:t>
      </w:r>
      <w:r>
        <w:br/>
      </w:r>
      <w:hyperlink r:id="rId605" w:history="1">
        <w:r w:rsidRPr="005E54AC">
          <w:rPr>
            <w:rStyle w:val="Hyperlink"/>
          </w:rPr>
          <w:t>https://www.ag.gov.au/rights-and-protections/human-rights-and-anti-discrimination/human-rights-scrutin</w:t>
        </w:r>
      </w:hyperlink>
      <w:r w:rsidRPr="005E54AC">
        <w:t>y</w:t>
      </w:r>
    </w:p>
    <w:p w14:paraId="5C671E12" w14:textId="77777777" w:rsidR="00E86304" w:rsidRPr="00FD274F" w:rsidRDefault="00E86304" w:rsidP="00E86304">
      <w:pPr>
        <w:pStyle w:val="Body"/>
        <w:spacing w:before="120"/>
        <w:rPr>
          <w:rStyle w:val="Hyperlink"/>
        </w:rPr>
      </w:pPr>
      <w:r w:rsidRPr="00FD274F">
        <w:rPr>
          <w:spacing w:val="-6"/>
        </w:rPr>
        <w:t>AGD Guide to Framing Commonwealth Offences, Infringements Notices and Enforcement Powers</w:t>
      </w:r>
      <w:r w:rsidRPr="00FD274F">
        <w:br/>
      </w:r>
      <w:hyperlink r:id="rId606" w:history="1">
        <w:r w:rsidRPr="005E54AC">
          <w:rPr>
            <w:rStyle w:val="Hyperlink"/>
          </w:rPr>
          <w:t>https://www.ag.gov.au/legal-system/publications/guide-framing-commonwealth-offences-infringement-notices-and-enforcement-powers</w:t>
        </w:r>
      </w:hyperlink>
    </w:p>
    <w:p w14:paraId="7AF99118" w14:textId="77777777" w:rsidR="00E86304" w:rsidRPr="00FD274F" w:rsidRDefault="00E86304" w:rsidP="00E86304">
      <w:pPr>
        <w:pStyle w:val="Body"/>
        <w:spacing w:before="120"/>
        <w:rPr>
          <w:rStyle w:val="Hyperlink"/>
          <w:szCs w:val="24"/>
        </w:rPr>
      </w:pPr>
      <w:r w:rsidRPr="00FD274F">
        <w:rPr>
          <w:szCs w:val="24"/>
        </w:rPr>
        <w:t xml:space="preserve">AGD Guide to Managing Sunsetting of Legislative Instruments </w:t>
      </w:r>
      <w:r w:rsidRPr="00FD274F">
        <w:rPr>
          <w:szCs w:val="24"/>
        </w:rPr>
        <w:br/>
      </w:r>
      <w:hyperlink r:id="rId607" w:history="1">
        <w:hyperlink r:id="rId608" w:history="1">
          <w:r w:rsidRPr="00EA7EDE">
            <w:rPr>
              <w:rStyle w:val="Hyperlink"/>
            </w:rPr>
            <w:t>https://www.ag.gov.au/legal-system/administrative-law/legislation-act-2003</w:t>
          </w:r>
        </w:hyperlink>
      </w:hyperlink>
    </w:p>
    <w:p w14:paraId="53404FE3" w14:textId="77777777" w:rsidR="00E86304" w:rsidRPr="00013845" w:rsidRDefault="00E86304" w:rsidP="00E86304">
      <w:pPr>
        <w:pStyle w:val="Body"/>
        <w:spacing w:before="120"/>
      </w:pPr>
      <w:r w:rsidRPr="00013845">
        <w:t xml:space="preserve">The Australian Government Guide to </w:t>
      </w:r>
      <w:r w:rsidRPr="005E54AC">
        <w:t>Delivering Great Policy</w:t>
      </w:r>
      <w:r w:rsidRPr="00013845">
        <w:br/>
      </w:r>
      <w:hyperlink r:id="rId609" w:history="1">
        <w:r w:rsidRPr="005E54AC">
          <w:rPr>
            <w:rStyle w:val="Hyperlink"/>
          </w:rPr>
          <w:t>https://www.apsacademy.gov.au/aps-craft/strategy-policy-evaluation/delivering-great-policy</w:t>
        </w:r>
      </w:hyperlink>
    </w:p>
    <w:p w14:paraId="65458F34" w14:textId="77777777" w:rsidR="00E86304" w:rsidRPr="00433C0A" w:rsidRDefault="00E86304" w:rsidP="00E86304">
      <w:pPr>
        <w:pStyle w:val="Body"/>
        <w:spacing w:before="120"/>
        <w:rPr>
          <w:spacing w:val="-6"/>
          <w:sz w:val="36"/>
        </w:rPr>
      </w:pPr>
      <w:r w:rsidRPr="00574CB5">
        <w:t>Federal Executive Council Handbook</w:t>
      </w:r>
      <w:r w:rsidRPr="00574CB5">
        <w:rPr>
          <w:rStyle w:val="Hyperlink"/>
          <w:highlight w:val="green"/>
        </w:rPr>
        <w:br/>
      </w:r>
      <w:hyperlink r:id="rId610" w:history="1">
        <w:r w:rsidRPr="005E54AC">
          <w:rPr>
            <w:rStyle w:val="Hyperlink"/>
          </w:rPr>
          <w:t>https://www.pmc.gov.au/resources/federal-executive-council-handbook-2021</w:t>
        </w:r>
      </w:hyperlink>
    </w:p>
    <w:p w14:paraId="3893B2A1" w14:textId="77777777" w:rsidR="00E86304" w:rsidRDefault="00E86304" w:rsidP="00E86304">
      <w:pPr>
        <w:pStyle w:val="Body"/>
        <w:spacing w:before="120"/>
        <w:rPr>
          <w:rStyle w:val="Hyperlink"/>
        </w:rPr>
      </w:pPr>
      <w:r w:rsidRPr="00433C0A">
        <w:t>Guidelines for the Presentation of Documents to the Parliament</w:t>
      </w:r>
      <w:r w:rsidRPr="00433C0A">
        <w:br/>
      </w:r>
      <w:hyperlink r:id="rId611" w:history="1">
        <w:r w:rsidRPr="004443F8">
          <w:rPr>
            <w:rStyle w:val="Hyperlink"/>
          </w:rPr>
          <w:t>https://www.pmc.gov.au/resources/tabling-guidelines</w:t>
        </w:r>
      </w:hyperlink>
    </w:p>
    <w:p w14:paraId="1538A42E" w14:textId="77777777" w:rsidR="00E86304" w:rsidRPr="00FD274F" w:rsidRDefault="00E86304" w:rsidP="00E86304">
      <w:pPr>
        <w:pStyle w:val="Body"/>
        <w:spacing w:before="120"/>
        <w:rPr>
          <w:rStyle w:val="Hyperlink"/>
        </w:rPr>
      </w:pPr>
      <w:r w:rsidRPr="00433C0A">
        <w:t>Legislation Handbook</w:t>
      </w:r>
      <w:r w:rsidRPr="00433C0A">
        <w:br/>
      </w:r>
      <w:hyperlink r:id="rId612" w:history="1">
        <w:r w:rsidRPr="004443F8">
          <w:rPr>
            <w:rStyle w:val="Hyperlink"/>
          </w:rPr>
          <w:t>https://www.pmc.gov.au/resources/legislation-handbook</w:t>
        </w:r>
      </w:hyperlink>
    </w:p>
    <w:bookmarkEnd w:id="205"/>
    <w:p w14:paraId="38FF3C72" w14:textId="77777777" w:rsidR="00E86304" w:rsidRPr="00FD274F" w:rsidRDefault="00E86304" w:rsidP="00E86304">
      <w:pPr>
        <w:pStyle w:val="Body"/>
        <w:spacing w:before="120"/>
        <w:rPr>
          <w:rStyle w:val="Hyperlink"/>
        </w:rPr>
      </w:pPr>
      <w:r w:rsidRPr="00FD274F">
        <w:t>Legislation Proposal Advice—</w:t>
      </w:r>
      <w:proofErr w:type="spellStart"/>
      <w:r w:rsidRPr="00FD274F">
        <w:t>OPC</w:t>
      </w:r>
      <w:proofErr w:type="spellEnd"/>
      <w:r w:rsidRPr="00FD274F">
        <w:t xml:space="preserve"> client advisers list</w:t>
      </w:r>
      <w:r w:rsidRPr="00FD274F">
        <w:br/>
      </w:r>
      <w:hyperlink r:id="rId613" w:history="1">
        <w:r>
          <w:rPr>
            <w:rStyle w:val="Hyperlink"/>
          </w:rPr>
          <w:t>https://www.opc.gov.au/drafting</w:t>
        </w:r>
        <w:r>
          <w:rPr>
            <w:rStyle w:val="Hyperlink"/>
          </w:rPr>
          <w:noBreakHyphen/>
          <w:t>resources/client</w:t>
        </w:r>
        <w:r>
          <w:rPr>
            <w:rStyle w:val="Hyperlink"/>
          </w:rPr>
          <w:noBreakHyphen/>
          <w:t>advisers</w:t>
        </w:r>
      </w:hyperlink>
      <w:r w:rsidRPr="00FD274F">
        <w:t xml:space="preserve"> </w:t>
      </w:r>
    </w:p>
    <w:p w14:paraId="32BEC30C" w14:textId="77777777" w:rsidR="00E86304" w:rsidRPr="00EB1638" w:rsidRDefault="00E86304" w:rsidP="00E86304">
      <w:pPr>
        <w:pStyle w:val="Body"/>
        <w:spacing w:before="120"/>
        <w:rPr>
          <w:rStyle w:val="Hyperlink"/>
          <w:color w:val="auto"/>
        </w:rPr>
      </w:pPr>
      <w:proofErr w:type="spellStart"/>
      <w:r w:rsidRPr="00FD274F">
        <w:t>OPC</w:t>
      </w:r>
      <w:proofErr w:type="spellEnd"/>
      <w:r w:rsidRPr="00FD274F">
        <w:t xml:space="preserve"> Drafting Directions</w:t>
      </w:r>
      <w:r w:rsidRPr="00FD274F">
        <w:rPr>
          <w:rStyle w:val="Hyperlink"/>
        </w:rPr>
        <w:br/>
      </w:r>
      <w:hyperlink r:id="rId614" w:history="1">
        <w:r>
          <w:rPr>
            <w:rStyle w:val="Hyperlink"/>
          </w:rPr>
          <w:t>https://www.opc.gov.au/drafting</w:t>
        </w:r>
        <w:r>
          <w:rPr>
            <w:rStyle w:val="Hyperlink"/>
          </w:rPr>
          <w:noBreakHyphen/>
          <w:t>resources/drafting</w:t>
        </w:r>
        <w:r>
          <w:rPr>
            <w:rStyle w:val="Hyperlink"/>
          </w:rPr>
          <w:noBreakHyphen/>
          <w:t>directions</w:t>
        </w:r>
      </w:hyperlink>
    </w:p>
    <w:p w14:paraId="5B4D70D5" w14:textId="77777777" w:rsidR="00E86304" w:rsidRPr="00FD274F" w:rsidRDefault="00E86304" w:rsidP="00E86304">
      <w:pPr>
        <w:pStyle w:val="Body"/>
        <w:spacing w:before="120"/>
        <w:rPr>
          <w:rStyle w:val="Hyperlink"/>
        </w:rPr>
      </w:pPr>
      <w:proofErr w:type="spellStart"/>
      <w:r w:rsidRPr="00FD274F">
        <w:t>OPC</w:t>
      </w:r>
      <w:proofErr w:type="spellEnd"/>
      <w:r w:rsidRPr="00FD274F">
        <w:t xml:space="preserve"> Drafting Manuals</w:t>
      </w:r>
      <w:r w:rsidRPr="00FD274F">
        <w:rPr>
          <w:rStyle w:val="Hyperlink"/>
        </w:rPr>
        <w:br/>
      </w:r>
      <w:hyperlink r:id="rId615" w:history="1">
        <w:r>
          <w:rPr>
            <w:rStyle w:val="Hyperlink"/>
          </w:rPr>
          <w:t>https://www.opc.gov.au/drafting-resources/drafting-general</w:t>
        </w:r>
      </w:hyperlink>
    </w:p>
    <w:p w14:paraId="44EE948A" w14:textId="77777777" w:rsidR="00E86304" w:rsidRPr="00FD274F" w:rsidRDefault="00E86304" w:rsidP="00E86304">
      <w:pPr>
        <w:pStyle w:val="Body"/>
        <w:spacing w:before="120"/>
        <w:rPr>
          <w:rStyle w:val="Hyperlink"/>
        </w:rPr>
      </w:pPr>
      <w:proofErr w:type="spellStart"/>
      <w:r w:rsidRPr="00FD274F">
        <w:t>OPC’s</w:t>
      </w:r>
      <w:proofErr w:type="spellEnd"/>
      <w:r w:rsidRPr="00FD274F">
        <w:t xml:space="preserve"> draftin</w:t>
      </w:r>
      <w:r>
        <w:t>g services: a guide for clients</w:t>
      </w:r>
      <w:r w:rsidRPr="00FD274F">
        <w:rPr>
          <w:rStyle w:val="Hyperlink"/>
        </w:rPr>
        <w:br/>
      </w:r>
      <w:hyperlink r:id="rId616" w:history="1">
        <w:r>
          <w:rPr>
            <w:rStyle w:val="Hyperlink"/>
          </w:rPr>
          <w:t>https://www.opc.gov.au/publications/opcs-drafting-services-guide-clients</w:t>
        </w:r>
      </w:hyperlink>
    </w:p>
    <w:p w14:paraId="0FC540F6" w14:textId="77777777" w:rsidR="00E86304" w:rsidRPr="00FD274F" w:rsidRDefault="00E86304" w:rsidP="00E86304">
      <w:pPr>
        <w:pStyle w:val="Body"/>
        <w:spacing w:before="120"/>
        <w:rPr>
          <w:rStyle w:val="Hyperlink"/>
        </w:rPr>
      </w:pPr>
      <w:r w:rsidRPr="00FD274F">
        <w:t>Parliamentary Joint Committee on Human Rights—Guidance Notes and Resources</w:t>
      </w:r>
      <w:r w:rsidRPr="00FD274F">
        <w:br/>
      </w:r>
      <w:hyperlink r:id="rId617" w:history="1">
        <w:r>
          <w:rPr>
            <w:rStyle w:val="Hyperlink"/>
          </w:rPr>
          <w:t>https://www.aph.gov.au/Parliamentary_Business/Committees/Joint/Human_Rights/Committee_resources</w:t>
        </w:r>
      </w:hyperlink>
    </w:p>
    <w:p w14:paraId="1D59D424" w14:textId="77777777" w:rsidR="00E86304" w:rsidRPr="00FD274F" w:rsidRDefault="00E86304" w:rsidP="00E86304">
      <w:pPr>
        <w:pStyle w:val="Body"/>
        <w:spacing w:before="120"/>
        <w:rPr>
          <w:rStyle w:val="Hyperlink"/>
        </w:rPr>
      </w:pPr>
      <w:r w:rsidRPr="00FD274F">
        <w:t xml:space="preserve">Senate Standing Committee </w:t>
      </w:r>
      <w:r>
        <w:t>for the Scrutiny of Delegated Legislation</w:t>
      </w:r>
      <w:r w:rsidRPr="00FD274F">
        <w:t>—Committee guidelines</w:t>
      </w:r>
      <w:r w:rsidRPr="00FD274F">
        <w:br/>
      </w:r>
      <w:hyperlink r:id="rId618" w:history="1">
        <w:r w:rsidRPr="00FD274F">
          <w:rPr>
            <w:rStyle w:val="Hyperlink"/>
          </w:rPr>
          <w:t>http</w:t>
        </w:r>
        <w:r>
          <w:rPr>
            <w:rStyle w:val="Hyperlink"/>
          </w:rPr>
          <w:t>s</w:t>
        </w:r>
        <w:r w:rsidRPr="00FD274F">
          <w:rPr>
            <w:rStyle w:val="Hyperlink"/>
          </w:rPr>
          <w:t xml:space="preserve">://www.aph.gov.au/Parliamentary_Business/Committees/Senate/Regulations_and_Ordinances/Guidelines </w:t>
        </w:r>
      </w:hyperlink>
    </w:p>
    <w:bookmarkEnd w:id="96"/>
    <w:p w14:paraId="1A2C3A74" w14:textId="77777777" w:rsidR="00E86304" w:rsidRPr="00FD274F" w:rsidRDefault="00E86304" w:rsidP="00E86304">
      <w:pPr>
        <w:pStyle w:val="Head2"/>
        <w:sectPr w:rsidR="00E86304" w:rsidRPr="00FD274F" w:rsidSect="00E86304">
          <w:headerReference w:type="default" r:id="rId619"/>
          <w:footerReference w:type="default" r:id="rId620"/>
          <w:pgSz w:w="11907" w:h="16839" w:code="9"/>
          <w:pgMar w:top="1440" w:right="1440" w:bottom="1418" w:left="1440" w:header="720" w:footer="720" w:gutter="0"/>
          <w:cols w:sep="1" w:space="567"/>
          <w:docGrid w:linePitch="360"/>
        </w:sectPr>
      </w:pPr>
    </w:p>
    <w:p w14:paraId="2DCB31A8" w14:textId="77777777" w:rsidR="00E86304" w:rsidRPr="00FD274F" w:rsidRDefault="00E86304" w:rsidP="00E86304">
      <w:pPr>
        <w:pStyle w:val="Head2"/>
      </w:pPr>
      <w:bookmarkStart w:id="208" w:name="_Toc238117591"/>
      <w:r w:rsidRPr="002F14DE">
        <w:lastRenderedPageBreak/>
        <w:t>Useful contacts</w:t>
      </w:r>
      <w:bookmarkEnd w:id="208"/>
    </w:p>
    <w:p w14:paraId="673CD8BD" w14:textId="77777777" w:rsidR="00E86304" w:rsidRPr="00FD274F" w:rsidRDefault="00E86304" w:rsidP="00E86304">
      <w:pPr>
        <w:pStyle w:val="Head2"/>
        <w:sectPr w:rsidR="00E86304" w:rsidRPr="00FD274F" w:rsidSect="00E86304">
          <w:headerReference w:type="default" r:id="rId621"/>
          <w:footerReference w:type="default" r:id="rId622"/>
          <w:pgSz w:w="11907" w:h="16839" w:code="9"/>
          <w:pgMar w:top="1440" w:right="1440" w:bottom="1418" w:left="1440" w:header="720" w:footer="720" w:gutter="0"/>
          <w:cols w:sep="1" w:space="567"/>
          <w:docGrid w:linePitch="360"/>
        </w:sectPr>
      </w:pPr>
    </w:p>
    <w:p w14:paraId="2453BB48" w14:textId="77777777" w:rsidR="00E86304" w:rsidRPr="00FD274F" w:rsidRDefault="00E86304" w:rsidP="00E86304">
      <w:pPr>
        <w:pStyle w:val="Head3"/>
      </w:pPr>
      <w:bookmarkStart w:id="209" w:name="_Toc238117592"/>
      <w:r w:rsidRPr="00FD274F">
        <w:t>Office of Parliamentary Counsel</w:t>
      </w:r>
      <w:bookmarkEnd w:id="209"/>
    </w:p>
    <w:p w14:paraId="3B446CDB" w14:textId="77777777" w:rsidR="00E86304" w:rsidRPr="00FD274F" w:rsidRDefault="00E86304" w:rsidP="00E86304">
      <w:pPr>
        <w:pStyle w:val="Body"/>
        <w:spacing w:before="120"/>
        <w:rPr>
          <w:rFonts w:ascii="Arial" w:hAnsi="Arial" w:cs="Arial"/>
          <w:b/>
          <w:sz w:val="22"/>
          <w:szCs w:val="22"/>
        </w:rPr>
      </w:pPr>
      <w:r w:rsidRPr="00FD274F">
        <w:rPr>
          <w:rFonts w:ascii="Arial" w:hAnsi="Arial" w:cs="Arial"/>
          <w:b/>
          <w:sz w:val="22"/>
          <w:szCs w:val="22"/>
        </w:rPr>
        <w:t>Instrument drafting services</w:t>
      </w:r>
    </w:p>
    <w:p w14:paraId="4B10F423" w14:textId="77777777" w:rsidR="00E86304" w:rsidRPr="00FD274F" w:rsidRDefault="00E86304" w:rsidP="00E86304">
      <w:pPr>
        <w:pStyle w:val="Body"/>
        <w:spacing w:before="120"/>
      </w:pPr>
      <w:hyperlink r:id="rId623" w:history="1">
        <w:r w:rsidRPr="00FD274F">
          <w:rPr>
            <w:rStyle w:val="Hyperlink"/>
          </w:rPr>
          <w:t>instrument.instructions@opc.gov.au</w:t>
        </w:r>
      </w:hyperlink>
    </w:p>
    <w:p w14:paraId="6472AFBD" w14:textId="77777777" w:rsidR="00E86304" w:rsidRPr="00FD274F" w:rsidRDefault="00E86304" w:rsidP="00E86304">
      <w:pPr>
        <w:pStyle w:val="Body"/>
        <w:spacing w:before="120"/>
      </w:pPr>
      <w:r w:rsidRPr="00FD274F">
        <w:t xml:space="preserve">or contact </w:t>
      </w:r>
      <w:proofErr w:type="spellStart"/>
      <w:r w:rsidRPr="00FD274F">
        <w:t>OPC</w:t>
      </w:r>
      <w:r>
        <w:t>’s</w:t>
      </w:r>
      <w:proofErr w:type="spellEnd"/>
      <w:r w:rsidRPr="00FD274F">
        <w:t xml:space="preserve"> instrument</w:t>
      </w:r>
      <w:r>
        <w:t xml:space="preserve"> client advisers</w:t>
      </w:r>
      <w:r w:rsidRPr="00FD274F">
        <w:br/>
        <w:t>(</w:t>
      </w:r>
      <w:hyperlink r:id="rId624" w:history="1">
        <w:r>
          <w:rPr>
            <w:rStyle w:val="Hyperlink"/>
          </w:rPr>
          <w:t>https://www.opc.gov.au/drafting</w:t>
        </w:r>
        <w:r>
          <w:rPr>
            <w:rStyle w:val="Hyperlink"/>
          </w:rPr>
          <w:noBreakHyphen/>
          <w:t>resources/client</w:t>
        </w:r>
        <w:r>
          <w:rPr>
            <w:rStyle w:val="Hyperlink"/>
          </w:rPr>
          <w:noBreakHyphen/>
          <w:t>advisers</w:t>
        </w:r>
      </w:hyperlink>
      <w:r w:rsidRPr="00FD274F">
        <w:t>)</w:t>
      </w:r>
    </w:p>
    <w:p w14:paraId="1ECCDB60" w14:textId="77777777" w:rsidR="00E86304" w:rsidRPr="00FD274F" w:rsidRDefault="00E86304" w:rsidP="00E86304">
      <w:pPr>
        <w:pStyle w:val="Body"/>
        <w:spacing w:before="120"/>
        <w:rPr>
          <w:rFonts w:ascii="Arial" w:hAnsi="Arial" w:cs="Arial"/>
          <w:b/>
          <w:sz w:val="22"/>
          <w:szCs w:val="22"/>
        </w:rPr>
      </w:pPr>
      <w:r w:rsidRPr="00FD274F">
        <w:rPr>
          <w:rFonts w:ascii="Arial" w:hAnsi="Arial" w:cs="Arial"/>
          <w:b/>
          <w:sz w:val="22"/>
          <w:szCs w:val="22"/>
        </w:rPr>
        <w:t>Compilations services</w:t>
      </w:r>
    </w:p>
    <w:p w14:paraId="3408B310" w14:textId="77777777" w:rsidR="00E86304" w:rsidRPr="00FD274F" w:rsidRDefault="00E86304" w:rsidP="00E86304">
      <w:pPr>
        <w:pStyle w:val="Body"/>
        <w:spacing w:before="120"/>
      </w:pPr>
      <w:hyperlink r:id="rId625" w:history="1">
        <w:hyperlink r:id="rId626" w:history="1">
          <w:r w:rsidRPr="00FD26C8">
            <w:rPr>
              <w:rStyle w:val="Hyperlink"/>
            </w:rPr>
            <w:t>lodge@legislation.gov.au</w:t>
          </w:r>
        </w:hyperlink>
      </w:hyperlink>
      <w:r w:rsidRPr="00FD274F">
        <w:rPr>
          <w:szCs w:val="24"/>
        </w:rPr>
        <w:br/>
      </w:r>
      <w:r w:rsidRPr="00FD274F">
        <w:t>(02) 6120 1350</w:t>
      </w:r>
    </w:p>
    <w:p w14:paraId="4CCA47B3" w14:textId="77777777" w:rsidR="00E86304" w:rsidRPr="00FD274F" w:rsidRDefault="00E86304" w:rsidP="00E86304">
      <w:pPr>
        <w:pStyle w:val="Body"/>
        <w:spacing w:before="120"/>
        <w:rPr>
          <w:rFonts w:ascii="Arial" w:hAnsi="Arial" w:cs="Arial"/>
          <w:b/>
          <w:sz w:val="22"/>
          <w:szCs w:val="22"/>
        </w:rPr>
      </w:pPr>
      <w:r w:rsidRPr="00FD274F">
        <w:rPr>
          <w:rFonts w:ascii="Arial" w:hAnsi="Arial" w:cs="Arial"/>
          <w:b/>
          <w:sz w:val="22"/>
          <w:szCs w:val="22"/>
        </w:rPr>
        <w:t>Sunsetting and repeal of instruments</w:t>
      </w:r>
    </w:p>
    <w:p w14:paraId="072D8488" w14:textId="77777777" w:rsidR="00E86304" w:rsidRPr="00FD274F" w:rsidRDefault="00E86304" w:rsidP="00E86304">
      <w:pPr>
        <w:pStyle w:val="Body"/>
        <w:spacing w:before="120"/>
      </w:pPr>
      <w:hyperlink r:id="rId627" w:history="1">
        <w:r w:rsidRPr="00FD274F">
          <w:rPr>
            <w:rStyle w:val="Hyperlink"/>
          </w:rPr>
          <w:t>sunsetting@opc.gov.au</w:t>
        </w:r>
      </w:hyperlink>
      <w:r w:rsidRPr="00FD274F">
        <w:t xml:space="preserve"> </w:t>
      </w:r>
      <w:r w:rsidRPr="00FD274F">
        <w:br/>
        <w:t>(02) 6120 13</w:t>
      </w:r>
      <w:r>
        <w:t>50</w:t>
      </w:r>
    </w:p>
    <w:p w14:paraId="78421B76" w14:textId="77777777" w:rsidR="00E86304" w:rsidRPr="00FD274F" w:rsidRDefault="00E86304" w:rsidP="00E86304">
      <w:pPr>
        <w:pStyle w:val="Body"/>
        <w:spacing w:before="120"/>
        <w:rPr>
          <w:rFonts w:ascii="Arial" w:hAnsi="Arial" w:cs="Arial"/>
          <w:b/>
          <w:sz w:val="22"/>
          <w:szCs w:val="22"/>
        </w:rPr>
      </w:pPr>
      <w:r w:rsidRPr="00FD274F">
        <w:rPr>
          <w:rFonts w:ascii="Arial" w:hAnsi="Arial" w:cs="Arial"/>
          <w:b/>
          <w:sz w:val="22"/>
          <w:szCs w:val="22"/>
        </w:rPr>
        <w:t>Registration services and corrections</w:t>
      </w:r>
    </w:p>
    <w:p w14:paraId="1B2477B4" w14:textId="77777777" w:rsidR="00E86304" w:rsidRPr="00FD274F" w:rsidRDefault="00E86304" w:rsidP="00E86304">
      <w:pPr>
        <w:pStyle w:val="Body"/>
        <w:spacing w:before="120"/>
        <w:rPr>
          <w:rStyle w:val="Hyperlink"/>
        </w:rPr>
      </w:pPr>
      <w:r w:rsidRPr="00FD274F">
        <w:t>To lodge documents online, go to:</w:t>
      </w:r>
      <w:r w:rsidRPr="00FD274F">
        <w:br/>
      </w:r>
      <w:hyperlink r:id="rId628" w:history="1">
        <w:r>
          <w:rPr>
            <w:rStyle w:val="Hyperlink"/>
          </w:rPr>
          <w:t>https://lodge.legislation.gov.au</w:t>
        </w:r>
      </w:hyperlink>
    </w:p>
    <w:p w14:paraId="6110F55A" w14:textId="77777777" w:rsidR="00E86304" w:rsidRPr="001E456D" w:rsidRDefault="00E86304" w:rsidP="00E86304">
      <w:pPr>
        <w:pStyle w:val="Body"/>
        <w:spacing w:before="120"/>
        <w:rPr>
          <w:szCs w:val="24"/>
        </w:rPr>
      </w:pPr>
      <w:r w:rsidRPr="001E456D">
        <w:rPr>
          <w:szCs w:val="24"/>
        </w:rPr>
        <w:t>To arrange a log</w:t>
      </w:r>
      <w:r w:rsidRPr="001E456D">
        <w:rPr>
          <w:szCs w:val="24"/>
        </w:rPr>
        <w:noBreakHyphen/>
        <w:t>on or get other help:</w:t>
      </w:r>
      <w:r w:rsidRPr="001E456D">
        <w:rPr>
          <w:szCs w:val="24"/>
        </w:rPr>
        <w:br/>
      </w:r>
      <w:hyperlink r:id="rId629" w:history="1">
        <w:r w:rsidRPr="001E456D">
          <w:rPr>
            <w:rStyle w:val="Hyperlink"/>
            <w:rFonts w:eastAsiaTheme="minorHAnsi"/>
            <w:szCs w:val="24"/>
            <w:lang w:eastAsia="en-US"/>
          </w:rPr>
          <w:t>lodge@legislation.gov.au</w:t>
        </w:r>
      </w:hyperlink>
      <w:r w:rsidRPr="001E456D">
        <w:rPr>
          <w:szCs w:val="24"/>
        </w:rPr>
        <w:t xml:space="preserve"> </w:t>
      </w:r>
      <w:r w:rsidRPr="001E456D">
        <w:rPr>
          <w:szCs w:val="24"/>
        </w:rPr>
        <w:br/>
        <w:t xml:space="preserve">(02) 6120 1350 </w:t>
      </w:r>
    </w:p>
    <w:p w14:paraId="62A16A0A" w14:textId="77777777" w:rsidR="00E86304" w:rsidRPr="00FD274F" w:rsidRDefault="00E86304" w:rsidP="00E86304">
      <w:pPr>
        <w:pStyle w:val="Head3"/>
        <w:spacing w:before="120" w:after="0"/>
      </w:pPr>
      <w:bookmarkStart w:id="210" w:name="_Toc238117593"/>
      <w:r w:rsidRPr="00FD274F">
        <w:t>Table Offices</w:t>
      </w:r>
      <w:bookmarkEnd w:id="210"/>
    </w:p>
    <w:p w14:paraId="656DF47F" w14:textId="77777777" w:rsidR="00E86304" w:rsidRPr="00FD274F" w:rsidRDefault="00E86304" w:rsidP="00E86304">
      <w:pPr>
        <w:pStyle w:val="Body"/>
        <w:spacing w:before="120"/>
      </w:pPr>
      <w:r w:rsidRPr="00FD274F">
        <w:rPr>
          <w:rFonts w:ascii="Arial" w:hAnsi="Arial" w:cs="Arial"/>
          <w:b/>
          <w:sz w:val="22"/>
          <w:szCs w:val="22"/>
        </w:rPr>
        <w:t>House of Representatives</w:t>
      </w:r>
    </w:p>
    <w:p w14:paraId="4649976F" w14:textId="77777777" w:rsidR="00E86304" w:rsidRPr="00FD274F" w:rsidRDefault="00E86304" w:rsidP="00E86304">
      <w:pPr>
        <w:pStyle w:val="Body"/>
        <w:spacing w:before="120"/>
      </w:pPr>
      <w:hyperlink r:id="rId630" w:history="1">
        <w:r w:rsidRPr="00FD274F">
          <w:rPr>
            <w:rStyle w:val="Hyperlink"/>
          </w:rPr>
          <w:t>table.office.reps@aph.gov.au</w:t>
        </w:r>
      </w:hyperlink>
      <w:r w:rsidRPr="00FD274F">
        <w:br/>
        <w:t>(02) 6277 4800</w:t>
      </w:r>
    </w:p>
    <w:p w14:paraId="10435B5D" w14:textId="77777777" w:rsidR="00E86304" w:rsidRPr="00FD274F" w:rsidRDefault="00E86304" w:rsidP="00E86304">
      <w:pPr>
        <w:pStyle w:val="Body"/>
        <w:spacing w:before="120"/>
        <w:rPr>
          <w:rFonts w:ascii="Arial" w:hAnsi="Arial" w:cs="Arial"/>
          <w:b/>
          <w:sz w:val="22"/>
          <w:szCs w:val="22"/>
        </w:rPr>
      </w:pPr>
      <w:r w:rsidRPr="00FD274F">
        <w:rPr>
          <w:rFonts w:ascii="Arial" w:hAnsi="Arial" w:cs="Arial"/>
          <w:b/>
          <w:sz w:val="22"/>
          <w:szCs w:val="22"/>
        </w:rPr>
        <w:t>Senate</w:t>
      </w:r>
    </w:p>
    <w:p w14:paraId="0314B0B1" w14:textId="77777777" w:rsidR="00E86304" w:rsidRPr="00FD274F" w:rsidRDefault="00E86304" w:rsidP="00E86304">
      <w:pPr>
        <w:pStyle w:val="Body"/>
        <w:spacing w:before="120"/>
      </w:pPr>
      <w:hyperlink r:id="rId631" w:history="1">
        <w:r w:rsidRPr="00FD274F">
          <w:rPr>
            <w:rStyle w:val="Hyperlink"/>
          </w:rPr>
          <w:t>table.legislation.sen@aph.gov.au</w:t>
        </w:r>
      </w:hyperlink>
      <w:r w:rsidRPr="00FD274F">
        <w:br/>
        <w:t>(02) 6277 3035</w:t>
      </w:r>
    </w:p>
    <w:p w14:paraId="4BCB28BA" w14:textId="77777777" w:rsidR="00E86304" w:rsidRPr="00FD274F" w:rsidRDefault="00E86304" w:rsidP="00E86304">
      <w:pPr>
        <w:pStyle w:val="Head3"/>
        <w:spacing w:before="160"/>
      </w:pPr>
      <w:r w:rsidRPr="00FD274F">
        <w:br w:type="column"/>
      </w:r>
      <w:bookmarkStart w:id="211" w:name="_Toc238117594"/>
      <w:r w:rsidRPr="00FD274F">
        <w:t>Attorney</w:t>
      </w:r>
      <w:r>
        <w:noBreakHyphen/>
      </w:r>
      <w:r w:rsidRPr="00FD274F">
        <w:t>General’s Department</w:t>
      </w:r>
      <w:bookmarkEnd w:id="211"/>
    </w:p>
    <w:p w14:paraId="4BE64AC7" w14:textId="77777777" w:rsidR="00E86304" w:rsidRPr="00FD274F" w:rsidRDefault="00E86304" w:rsidP="00E86304">
      <w:pPr>
        <w:pStyle w:val="Body"/>
        <w:spacing w:before="120"/>
        <w:rPr>
          <w:rFonts w:ascii="Arial" w:hAnsi="Arial" w:cs="Arial"/>
          <w:b/>
          <w:sz w:val="22"/>
          <w:szCs w:val="22"/>
        </w:rPr>
      </w:pPr>
      <w:r w:rsidRPr="00FD274F">
        <w:rPr>
          <w:rFonts w:ascii="Arial" w:hAnsi="Arial" w:cs="Arial"/>
          <w:b/>
          <w:sz w:val="22"/>
          <w:szCs w:val="22"/>
        </w:rPr>
        <w:t>Exemptions from some or all of the LA</w:t>
      </w:r>
      <w:r>
        <w:rPr>
          <w:rFonts w:ascii="Arial" w:hAnsi="Arial" w:cs="Arial"/>
          <w:b/>
          <w:sz w:val="22"/>
          <w:szCs w:val="22"/>
        </w:rPr>
        <w:t>*</w:t>
      </w:r>
    </w:p>
    <w:p w14:paraId="5CCF91A7" w14:textId="77777777" w:rsidR="00E86304" w:rsidRPr="00FD274F" w:rsidRDefault="00E86304" w:rsidP="00E86304">
      <w:pPr>
        <w:pStyle w:val="Body"/>
        <w:spacing w:before="120"/>
      </w:pPr>
      <w:hyperlink r:id="rId632" w:history="1">
        <w:r w:rsidRPr="00FD274F">
          <w:rPr>
            <w:rStyle w:val="Hyperlink"/>
          </w:rPr>
          <w:t>adminlaw@ag.gov.au</w:t>
        </w:r>
      </w:hyperlink>
    </w:p>
    <w:p w14:paraId="221399F2" w14:textId="77777777" w:rsidR="00E86304" w:rsidRPr="00FD274F" w:rsidRDefault="00E86304" w:rsidP="00E86304">
      <w:pPr>
        <w:pStyle w:val="Body"/>
        <w:spacing w:before="120"/>
        <w:rPr>
          <w:rFonts w:ascii="Arial" w:hAnsi="Arial" w:cs="Arial"/>
          <w:b/>
          <w:sz w:val="22"/>
          <w:szCs w:val="22"/>
        </w:rPr>
      </w:pPr>
      <w:r w:rsidRPr="00FD274F">
        <w:rPr>
          <w:rFonts w:ascii="Arial" w:hAnsi="Arial" w:cs="Arial"/>
          <w:b/>
          <w:sz w:val="22"/>
          <w:szCs w:val="22"/>
        </w:rPr>
        <w:t>Proposals to defer sunsetting</w:t>
      </w:r>
      <w:r>
        <w:rPr>
          <w:rFonts w:ascii="Arial" w:hAnsi="Arial" w:cs="Arial"/>
          <w:b/>
          <w:sz w:val="22"/>
          <w:szCs w:val="22"/>
        </w:rPr>
        <w:t>*</w:t>
      </w:r>
    </w:p>
    <w:p w14:paraId="6505B06E" w14:textId="77777777" w:rsidR="00E86304" w:rsidRPr="00E277CA" w:rsidRDefault="00E86304" w:rsidP="00E86304">
      <w:pPr>
        <w:pStyle w:val="Body"/>
        <w:spacing w:before="120"/>
      </w:pPr>
      <w:hyperlink r:id="rId633" w:history="1">
        <w:r w:rsidRPr="00FD274F">
          <w:rPr>
            <w:rStyle w:val="Hyperlink"/>
          </w:rPr>
          <w:t>sunsetting@ag.gov.au</w:t>
        </w:r>
      </w:hyperlink>
    </w:p>
    <w:p w14:paraId="264E4BCC" w14:textId="77777777" w:rsidR="00E86304" w:rsidRDefault="00E86304" w:rsidP="00E86304">
      <w:pPr>
        <w:pStyle w:val="Body"/>
        <w:spacing w:before="120"/>
        <w:rPr>
          <w:rFonts w:ascii="Arial" w:hAnsi="Arial" w:cs="Arial"/>
          <w:b/>
          <w:sz w:val="22"/>
          <w:szCs w:val="22"/>
        </w:rPr>
      </w:pPr>
      <w:r w:rsidRPr="009D3DDD">
        <w:rPr>
          <w:sz w:val="22"/>
          <w:szCs w:val="22"/>
        </w:rPr>
        <w:t>*</w:t>
      </w:r>
      <w:r>
        <w:t xml:space="preserve">Alternatively, call the AGD Switchboard on </w:t>
      </w:r>
      <w:r w:rsidRPr="00FD274F">
        <w:t>(02) 6141 6666</w:t>
      </w:r>
      <w:r>
        <w:t xml:space="preserve"> and ask to be redirected to the Administrative Law Section</w:t>
      </w:r>
    </w:p>
    <w:p w14:paraId="24BE90CD" w14:textId="77777777" w:rsidR="00E86304" w:rsidRPr="00FD274F" w:rsidRDefault="00E86304" w:rsidP="00E86304">
      <w:pPr>
        <w:pStyle w:val="Body"/>
        <w:spacing w:before="120"/>
        <w:rPr>
          <w:rFonts w:ascii="Arial" w:hAnsi="Arial" w:cs="Arial"/>
          <w:b/>
          <w:sz w:val="22"/>
          <w:szCs w:val="22"/>
        </w:rPr>
      </w:pPr>
      <w:r w:rsidRPr="00FD274F">
        <w:rPr>
          <w:rFonts w:ascii="Arial" w:hAnsi="Arial" w:cs="Arial"/>
          <w:b/>
          <w:sz w:val="22"/>
          <w:szCs w:val="22"/>
        </w:rPr>
        <w:t>Human rights compatibility</w:t>
      </w:r>
    </w:p>
    <w:p w14:paraId="3DC5CB16" w14:textId="77777777" w:rsidR="00E86304" w:rsidRPr="00FD274F" w:rsidRDefault="00E86304" w:rsidP="00E86304">
      <w:pPr>
        <w:pStyle w:val="Body"/>
        <w:spacing w:before="120"/>
      </w:pPr>
      <w:hyperlink r:id="rId634" w:history="1">
        <w:r w:rsidRPr="00FD274F">
          <w:rPr>
            <w:rStyle w:val="Hyperlink"/>
          </w:rPr>
          <w:t>humanrights@ag.gov.au</w:t>
        </w:r>
      </w:hyperlink>
    </w:p>
    <w:p w14:paraId="680CD0D3" w14:textId="77777777" w:rsidR="00E86304" w:rsidRPr="00FD274F" w:rsidRDefault="00E86304" w:rsidP="00E86304">
      <w:pPr>
        <w:pStyle w:val="Body"/>
        <w:spacing w:before="120"/>
        <w:rPr>
          <w:rFonts w:ascii="Arial" w:hAnsi="Arial" w:cs="Arial"/>
          <w:b/>
          <w:sz w:val="22"/>
          <w:szCs w:val="22"/>
        </w:rPr>
      </w:pPr>
      <w:r w:rsidRPr="00FD274F">
        <w:rPr>
          <w:rFonts w:ascii="Arial" w:hAnsi="Arial" w:cs="Arial"/>
          <w:b/>
          <w:sz w:val="22"/>
          <w:szCs w:val="22"/>
        </w:rPr>
        <w:t>Criminal Law Policy</w:t>
      </w:r>
    </w:p>
    <w:p w14:paraId="4EB41395" w14:textId="77777777" w:rsidR="00E86304" w:rsidRPr="00FD274F" w:rsidRDefault="00E86304" w:rsidP="00E86304">
      <w:pPr>
        <w:pStyle w:val="Body"/>
        <w:spacing w:before="120"/>
      </w:pPr>
      <w:hyperlink r:id="rId635" w:history="1">
        <w:r w:rsidRPr="00934DA6">
          <w:rPr>
            <w:rStyle w:val="Hyperlink"/>
          </w:rPr>
          <w:t>CriminalLaw@ag.gov.au</w:t>
        </w:r>
      </w:hyperlink>
    </w:p>
    <w:p w14:paraId="6D60084D" w14:textId="77777777" w:rsidR="00E86304" w:rsidRPr="00FD274F" w:rsidRDefault="00E86304" w:rsidP="00E86304">
      <w:pPr>
        <w:pStyle w:val="Head3"/>
        <w:spacing w:after="0"/>
      </w:pPr>
      <w:bookmarkStart w:id="212" w:name="_Toc238117595"/>
      <w:r w:rsidRPr="00FD274F">
        <w:t>Department of the Prime Minister and Cabinet</w:t>
      </w:r>
      <w:bookmarkEnd w:id="212"/>
    </w:p>
    <w:p w14:paraId="182B75A0" w14:textId="77777777" w:rsidR="00E86304" w:rsidRPr="00FD274F" w:rsidRDefault="00E86304" w:rsidP="00E86304">
      <w:pPr>
        <w:pStyle w:val="Body"/>
        <w:spacing w:before="120"/>
        <w:rPr>
          <w:rFonts w:ascii="Arial" w:hAnsi="Arial" w:cs="Arial"/>
          <w:b/>
          <w:sz w:val="22"/>
          <w:szCs w:val="22"/>
        </w:rPr>
      </w:pPr>
      <w:r w:rsidRPr="00FD274F">
        <w:rPr>
          <w:rFonts w:ascii="Arial" w:hAnsi="Arial" w:cs="Arial"/>
          <w:b/>
          <w:sz w:val="22"/>
          <w:szCs w:val="22"/>
        </w:rPr>
        <w:t xml:space="preserve">Office of </w:t>
      </w:r>
      <w:r>
        <w:rPr>
          <w:rFonts w:ascii="Arial" w:hAnsi="Arial" w:cs="Arial"/>
          <w:b/>
          <w:sz w:val="22"/>
          <w:szCs w:val="22"/>
        </w:rPr>
        <w:t>Impact Analysis</w:t>
      </w:r>
    </w:p>
    <w:p w14:paraId="564C3425" w14:textId="77777777" w:rsidR="00E86304" w:rsidRPr="00FD274F" w:rsidRDefault="00E86304" w:rsidP="00E86304">
      <w:pPr>
        <w:pStyle w:val="Body"/>
        <w:spacing w:before="120"/>
      </w:pPr>
      <w:hyperlink r:id="rId636" w:history="1">
        <w:r w:rsidRPr="00FD274F">
          <w:rPr>
            <w:rStyle w:val="Hyperlink"/>
          </w:rPr>
          <w:t>helpdesk</w:t>
        </w:r>
        <w:r>
          <w:rPr>
            <w:rStyle w:val="Hyperlink"/>
          </w:rPr>
          <w:noBreakHyphen/>
          <w:t>OIA</w:t>
        </w:r>
        <w:r w:rsidRPr="00FD274F">
          <w:rPr>
            <w:rStyle w:val="Hyperlink"/>
          </w:rPr>
          <w:t>@pmc.gov.au</w:t>
        </w:r>
      </w:hyperlink>
      <w:r w:rsidRPr="00FD274F">
        <w:rPr>
          <w:rStyle w:val="Hyperlink"/>
        </w:rPr>
        <w:br/>
      </w:r>
      <w:r w:rsidRPr="00FD274F">
        <w:t>(02) 6271 6270</w:t>
      </w:r>
    </w:p>
    <w:p w14:paraId="4479520C" w14:textId="77777777" w:rsidR="00E86304" w:rsidRPr="00FD274F" w:rsidRDefault="00E86304" w:rsidP="00E86304">
      <w:pPr>
        <w:pStyle w:val="Body"/>
        <w:spacing w:before="120"/>
        <w:rPr>
          <w:rFonts w:ascii="Arial" w:hAnsi="Arial" w:cs="Arial"/>
          <w:b/>
          <w:sz w:val="22"/>
          <w:szCs w:val="22"/>
        </w:rPr>
      </w:pPr>
      <w:r w:rsidRPr="00FD274F">
        <w:rPr>
          <w:rFonts w:ascii="Arial" w:hAnsi="Arial" w:cs="Arial"/>
          <w:b/>
          <w:sz w:val="22"/>
          <w:szCs w:val="22"/>
        </w:rPr>
        <w:t>Federal Executive Council Secretariat</w:t>
      </w:r>
    </w:p>
    <w:p w14:paraId="7D4D71B2" w14:textId="77777777" w:rsidR="00E86304" w:rsidRPr="00FD274F" w:rsidRDefault="00E86304" w:rsidP="00E86304">
      <w:pPr>
        <w:pStyle w:val="Body"/>
        <w:spacing w:before="120"/>
      </w:pPr>
      <w:hyperlink r:id="rId637" w:history="1">
        <w:r w:rsidRPr="00FD274F">
          <w:rPr>
            <w:rStyle w:val="Hyperlink"/>
          </w:rPr>
          <w:t>exco@pmc.gov.au</w:t>
        </w:r>
      </w:hyperlink>
      <w:r w:rsidRPr="00FD274F">
        <w:br/>
      </w:r>
      <w:r w:rsidRPr="004102E0">
        <w:t xml:space="preserve">(02) 6271 5778 </w:t>
      </w:r>
    </w:p>
    <w:p w14:paraId="1F0FA39D" w14:textId="77777777" w:rsidR="00E86304" w:rsidRPr="00FD274F" w:rsidRDefault="00E86304" w:rsidP="00E86304">
      <w:pPr>
        <w:pStyle w:val="Body"/>
        <w:spacing w:before="120"/>
        <w:rPr>
          <w:rFonts w:ascii="Arial" w:hAnsi="Arial" w:cs="Arial"/>
          <w:b/>
          <w:sz w:val="22"/>
          <w:szCs w:val="22"/>
        </w:rPr>
      </w:pPr>
      <w:r w:rsidRPr="00FD274F">
        <w:rPr>
          <w:rFonts w:ascii="Arial" w:hAnsi="Arial" w:cs="Arial"/>
          <w:b/>
          <w:sz w:val="22"/>
          <w:szCs w:val="22"/>
        </w:rPr>
        <w:t>Tabling of non</w:t>
      </w:r>
      <w:r>
        <w:rPr>
          <w:rFonts w:ascii="Arial" w:hAnsi="Arial" w:cs="Arial"/>
          <w:b/>
          <w:sz w:val="22"/>
          <w:szCs w:val="22"/>
        </w:rPr>
        <w:noBreakHyphen/>
      </w:r>
      <w:r w:rsidRPr="00FD274F">
        <w:rPr>
          <w:rFonts w:ascii="Arial" w:hAnsi="Arial" w:cs="Arial"/>
          <w:b/>
          <w:sz w:val="22"/>
          <w:szCs w:val="22"/>
        </w:rPr>
        <w:t>Register documents</w:t>
      </w:r>
    </w:p>
    <w:p w14:paraId="360491E1" w14:textId="77777777" w:rsidR="00E86304" w:rsidRPr="00FD274F" w:rsidRDefault="00E86304" w:rsidP="00E86304">
      <w:pPr>
        <w:pStyle w:val="Body"/>
        <w:spacing w:before="120"/>
      </w:pPr>
      <w:hyperlink r:id="rId638" w:history="1">
        <w:r w:rsidRPr="00FD274F">
          <w:rPr>
            <w:rStyle w:val="Hyperlink"/>
          </w:rPr>
          <w:t>tabling@pmc.gov.au</w:t>
        </w:r>
      </w:hyperlink>
      <w:r w:rsidRPr="00FD274F">
        <w:br/>
        <w:t>(02) 6277 7212</w:t>
      </w:r>
    </w:p>
    <w:p w14:paraId="685D4864" w14:textId="77777777" w:rsidR="00E86304" w:rsidRPr="00FD274F" w:rsidRDefault="00E86304" w:rsidP="00E86304">
      <w:pPr>
        <w:pStyle w:val="Head3"/>
        <w:spacing w:after="0"/>
        <w:rPr>
          <w:rFonts w:cs="Arial"/>
          <w:b w:val="0"/>
          <w:i w:val="0"/>
          <w:szCs w:val="26"/>
        </w:rPr>
      </w:pPr>
      <w:bookmarkStart w:id="213" w:name="_Toc238117596"/>
      <w:r w:rsidRPr="00FD274F">
        <w:t>Parliamentary committees</w:t>
      </w:r>
      <w:bookmarkEnd w:id="213"/>
    </w:p>
    <w:p w14:paraId="5DAF147F" w14:textId="77777777" w:rsidR="00E86304" w:rsidRPr="00FD274F" w:rsidRDefault="00E86304" w:rsidP="00E86304">
      <w:pPr>
        <w:pStyle w:val="Body"/>
        <w:spacing w:before="120"/>
        <w:rPr>
          <w:rFonts w:ascii="Arial" w:hAnsi="Arial" w:cs="Arial"/>
          <w:b/>
          <w:sz w:val="22"/>
          <w:szCs w:val="22"/>
        </w:rPr>
      </w:pPr>
      <w:r w:rsidRPr="00FD274F">
        <w:rPr>
          <w:rFonts w:ascii="Arial" w:hAnsi="Arial" w:cs="Arial"/>
          <w:b/>
          <w:sz w:val="22"/>
          <w:szCs w:val="22"/>
        </w:rPr>
        <w:t>Parliamentary Joint Committee on Human Rights</w:t>
      </w:r>
    </w:p>
    <w:p w14:paraId="20B222C2" w14:textId="77777777" w:rsidR="00E86304" w:rsidRPr="00FD274F" w:rsidRDefault="00E86304" w:rsidP="00E86304">
      <w:pPr>
        <w:pStyle w:val="Body"/>
        <w:spacing w:before="120"/>
      </w:pPr>
      <w:hyperlink r:id="rId639" w:history="1">
        <w:r w:rsidRPr="00FD274F">
          <w:rPr>
            <w:rStyle w:val="Hyperlink"/>
          </w:rPr>
          <w:t>human.rights@aph.gov.au</w:t>
        </w:r>
      </w:hyperlink>
      <w:r w:rsidRPr="00FD274F">
        <w:br/>
        <w:t>(02) 6277 3823</w:t>
      </w:r>
    </w:p>
    <w:p w14:paraId="6CEC1F0D" w14:textId="77777777" w:rsidR="00E86304" w:rsidRPr="00FD274F" w:rsidRDefault="00E86304" w:rsidP="00E86304">
      <w:pPr>
        <w:pStyle w:val="Body"/>
        <w:spacing w:before="120"/>
        <w:rPr>
          <w:rFonts w:ascii="Arial" w:hAnsi="Arial" w:cs="Arial"/>
          <w:b/>
          <w:sz w:val="22"/>
          <w:szCs w:val="22"/>
        </w:rPr>
      </w:pPr>
      <w:r w:rsidRPr="00FD274F">
        <w:rPr>
          <w:rFonts w:ascii="Arial" w:hAnsi="Arial" w:cs="Arial"/>
          <w:b/>
          <w:sz w:val="22"/>
          <w:szCs w:val="22"/>
        </w:rPr>
        <w:t xml:space="preserve">Senate Standing Committee </w:t>
      </w:r>
      <w:r>
        <w:rPr>
          <w:rFonts w:ascii="Arial" w:hAnsi="Arial" w:cs="Arial"/>
          <w:b/>
          <w:sz w:val="22"/>
          <w:szCs w:val="22"/>
        </w:rPr>
        <w:t>for the Scrutiny of Delegated Legislation</w:t>
      </w:r>
    </w:p>
    <w:p w14:paraId="397026DD" w14:textId="77777777" w:rsidR="00E86304" w:rsidRPr="00FD274F" w:rsidRDefault="00E86304" w:rsidP="00E86304">
      <w:pPr>
        <w:pStyle w:val="Body"/>
        <w:spacing w:before="120"/>
        <w:sectPr w:rsidR="00E86304" w:rsidRPr="00FD274F" w:rsidSect="00E86304">
          <w:footerReference w:type="even" r:id="rId640"/>
          <w:footerReference w:type="default" r:id="rId641"/>
          <w:headerReference w:type="first" r:id="rId642"/>
          <w:footerReference w:type="first" r:id="rId643"/>
          <w:type w:val="continuous"/>
          <w:pgSz w:w="11907" w:h="16839" w:code="9"/>
          <w:pgMar w:top="1440" w:right="1440" w:bottom="1440" w:left="1440" w:header="720" w:footer="567" w:gutter="0"/>
          <w:cols w:num="2" w:sep="1" w:space="567"/>
          <w:docGrid w:linePitch="360"/>
        </w:sectPr>
      </w:pPr>
      <w:hyperlink r:id="rId644" w:history="1">
        <w:r w:rsidRPr="0031199D">
          <w:rPr>
            <w:rStyle w:val="Hyperlink"/>
          </w:rPr>
          <w:t>sdlc.sen@aph.gov.au</w:t>
        </w:r>
      </w:hyperlink>
      <w:r w:rsidRPr="00FD274F">
        <w:br/>
        <w:t>(02) 6277 3066</w:t>
      </w:r>
    </w:p>
    <w:p w14:paraId="1E8FD0EB" w14:textId="77777777" w:rsidR="00E86304" w:rsidRPr="00FD274F" w:rsidRDefault="00E86304" w:rsidP="00E86304">
      <w:pPr>
        <w:pStyle w:val="Head2"/>
      </w:pPr>
      <w:bookmarkStart w:id="214" w:name="_Toc238117597"/>
      <w:r w:rsidRPr="00FD274F">
        <w:lastRenderedPageBreak/>
        <w:t>Abbreviation key</w:t>
      </w:r>
      <w:bookmarkEnd w:id="214"/>
    </w:p>
    <w:p w14:paraId="0E4E78AD" w14:textId="77777777" w:rsidR="00E86304" w:rsidRPr="00FD274F" w:rsidRDefault="00E86304" w:rsidP="00E86304">
      <w:pPr>
        <w:pStyle w:val="Tabletext"/>
      </w:pPr>
    </w:p>
    <w:tbl>
      <w:tblPr>
        <w:tblW w:w="0" w:type="auto"/>
        <w:tblInd w:w="113" w:type="dxa"/>
        <w:tblBorders>
          <w:top w:val="single" w:sz="4" w:space="0" w:color="auto"/>
          <w:bottom w:val="single" w:sz="2" w:space="0" w:color="auto"/>
          <w:insideH w:val="single" w:sz="4" w:space="0" w:color="auto"/>
        </w:tblBorders>
        <w:tblLayout w:type="fixed"/>
        <w:tblLook w:val="0000" w:firstRow="0" w:lastRow="0" w:firstColumn="0" w:lastColumn="0" w:noHBand="0" w:noVBand="0"/>
      </w:tblPr>
      <w:tblGrid>
        <w:gridCol w:w="1413"/>
        <w:gridCol w:w="7513"/>
      </w:tblGrid>
      <w:tr w:rsidR="00E86304" w:rsidRPr="00FD274F" w14:paraId="7AE513F4" w14:textId="77777777" w:rsidTr="00C11826">
        <w:trPr>
          <w:tblHeader/>
        </w:trPr>
        <w:tc>
          <w:tcPr>
            <w:tcW w:w="1413" w:type="dxa"/>
            <w:tcBorders>
              <w:top w:val="single" w:sz="12" w:space="0" w:color="auto"/>
              <w:bottom w:val="single" w:sz="12" w:space="0" w:color="auto"/>
            </w:tcBorders>
          </w:tcPr>
          <w:p w14:paraId="73784C40" w14:textId="77777777" w:rsidR="00E86304" w:rsidRPr="009A4D26" w:rsidRDefault="00E86304" w:rsidP="00C11826">
            <w:pPr>
              <w:pStyle w:val="TableHeading"/>
            </w:pPr>
            <w:r w:rsidRPr="009A4D26">
              <w:t>Abbreviation</w:t>
            </w:r>
          </w:p>
        </w:tc>
        <w:tc>
          <w:tcPr>
            <w:tcW w:w="7513" w:type="dxa"/>
            <w:tcBorders>
              <w:top w:val="single" w:sz="12" w:space="0" w:color="auto"/>
              <w:bottom w:val="single" w:sz="12" w:space="0" w:color="auto"/>
            </w:tcBorders>
          </w:tcPr>
          <w:p w14:paraId="6912376C" w14:textId="77777777" w:rsidR="00E86304" w:rsidRPr="009A4D26" w:rsidRDefault="00E86304" w:rsidP="00C11826">
            <w:pPr>
              <w:pStyle w:val="TableHeading"/>
            </w:pPr>
            <w:r w:rsidRPr="009A4D26">
              <w:t xml:space="preserve">Meaning </w:t>
            </w:r>
          </w:p>
        </w:tc>
      </w:tr>
      <w:tr w:rsidR="00E86304" w:rsidRPr="00FD274F" w14:paraId="22B652B4" w14:textId="77777777" w:rsidTr="00C11826">
        <w:tc>
          <w:tcPr>
            <w:tcW w:w="1413" w:type="dxa"/>
            <w:tcBorders>
              <w:top w:val="single" w:sz="12" w:space="0" w:color="auto"/>
            </w:tcBorders>
          </w:tcPr>
          <w:p w14:paraId="413B8328" w14:textId="77777777" w:rsidR="00E86304" w:rsidRPr="009A4D26" w:rsidRDefault="00E86304" w:rsidP="00C11826">
            <w:pPr>
              <w:pStyle w:val="Tabletext"/>
            </w:pPr>
            <w:r w:rsidRPr="009A4D26">
              <w:t>AGD</w:t>
            </w:r>
          </w:p>
        </w:tc>
        <w:tc>
          <w:tcPr>
            <w:tcW w:w="7513" w:type="dxa"/>
            <w:tcBorders>
              <w:top w:val="single" w:sz="12" w:space="0" w:color="auto"/>
            </w:tcBorders>
          </w:tcPr>
          <w:p w14:paraId="232377C4" w14:textId="77777777" w:rsidR="00E86304" w:rsidRPr="009A4D26" w:rsidRDefault="00E86304" w:rsidP="00C11826">
            <w:pPr>
              <w:pStyle w:val="Tabletext"/>
            </w:pPr>
            <w:r w:rsidRPr="009A4D26">
              <w:t>Attorney</w:t>
            </w:r>
            <w:r w:rsidRPr="009A4D26">
              <w:noBreakHyphen/>
              <w:t>General’s Department</w:t>
            </w:r>
          </w:p>
        </w:tc>
      </w:tr>
      <w:tr w:rsidR="00E86304" w:rsidRPr="00FD274F" w14:paraId="7BCFAD95" w14:textId="77777777" w:rsidTr="00C11826">
        <w:tc>
          <w:tcPr>
            <w:tcW w:w="1413" w:type="dxa"/>
          </w:tcPr>
          <w:p w14:paraId="478F7538" w14:textId="77777777" w:rsidR="00E86304" w:rsidRPr="009A4D26" w:rsidRDefault="00E86304" w:rsidP="00C11826">
            <w:pPr>
              <w:pStyle w:val="Tabletext"/>
            </w:pPr>
            <w:r>
              <w:t>AGS</w:t>
            </w:r>
          </w:p>
        </w:tc>
        <w:tc>
          <w:tcPr>
            <w:tcW w:w="7513" w:type="dxa"/>
          </w:tcPr>
          <w:p w14:paraId="6590B72A" w14:textId="77777777" w:rsidR="00E86304" w:rsidRPr="009A4D26" w:rsidRDefault="00E86304" w:rsidP="00C11826">
            <w:pPr>
              <w:pStyle w:val="Tabletext"/>
            </w:pPr>
            <w:r>
              <w:t>Australian Government Solicitor</w:t>
            </w:r>
          </w:p>
        </w:tc>
      </w:tr>
      <w:tr w:rsidR="00E86304" w:rsidRPr="00FD274F" w14:paraId="68980853" w14:textId="77777777" w:rsidTr="00C11826">
        <w:tc>
          <w:tcPr>
            <w:tcW w:w="1413" w:type="dxa"/>
          </w:tcPr>
          <w:p w14:paraId="69431979" w14:textId="77777777" w:rsidR="00E86304" w:rsidRPr="009A4D26" w:rsidRDefault="00E86304" w:rsidP="00C11826">
            <w:pPr>
              <w:pStyle w:val="Tabletext"/>
            </w:pPr>
            <w:proofErr w:type="spellStart"/>
            <w:r w:rsidRPr="009A4D26">
              <w:t>ExCo</w:t>
            </w:r>
            <w:proofErr w:type="spellEnd"/>
          </w:p>
        </w:tc>
        <w:tc>
          <w:tcPr>
            <w:tcW w:w="7513" w:type="dxa"/>
          </w:tcPr>
          <w:p w14:paraId="4E3529F9" w14:textId="77777777" w:rsidR="00E86304" w:rsidRPr="009A4D26" w:rsidRDefault="00E86304" w:rsidP="00C11826">
            <w:pPr>
              <w:pStyle w:val="Tabletext"/>
            </w:pPr>
            <w:r w:rsidRPr="009A4D26">
              <w:t>Federal Executive Council</w:t>
            </w:r>
          </w:p>
        </w:tc>
      </w:tr>
      <w:tr w:rsidR="00E86304" w:rsidRPr="00FD274F" w14:paraId="2603C53B" w14:textId="77777777" w:rsidTr="00C11826">
        <w:tc>
          <w:tcPr>
            <w:tcW w:w="1413" w:type="dxa"/>
          </w:tcPr>
          <w:p w14:paraId="2B84544F" w14:textId="77777777" w:rsidR="00E86304" w:rsidRPr="009A4D26" w:rsidRDefault="00E86304" w:rsidP="00C11826">
            <w:pPr>
              <w:pStyle w:val="Tabletext"/>
            </w:pPr>
            <w:r w:rsidRPr="009A4D26">
              <w:t>LA</w:t>
            </w:r>
          </w:p>
        </w:tc>
        <w:tc>
          <w:tcPr>
            <w:tcW w:w="7513" w:type="dxa"/>
          </w:tcPr>
          <w:p w14:paraId="0EA333B8" w14:textId="77777777" w:rsidR="00E86304" w:rsidRPr="009A4D26" w:rsidRDefault="00E86304" w:rsidP="00C11826">
            <w:pPr>
              <w:pStyle w:val="Tabletext"/>
            </w:pPr>
            <w:r w:rsidRPr="009A4D26">
              <w:t xml:space="preserve">the </w:t>
            </w:r>
            <w:hyperlink r:id="rId645" w:history="1">
              <w:r w:rsidRPr="009A4D26">
                <w:rPr>
                  <w:rStyle w:val="Hyperlink"/>
                  <w:i/>
                </w:rPr>
                <w:t>Legislation Act 2003</w:t>
              </w:r>
            </w:hyperlink>
            <w:r w:rsidRPr="009A4D26">
              <w:rPr>
                <w:rStyle w:val="Hyperlink"/>
                <w:color w:val="000000" w:themeColor="text1"/>
              </w:rPr>
              <w:t xml:space="preserve">, </w:t>
            </w:r>
            <w:r w:rsidRPr="009A4D26">
              <w:rPr>
                <w:rStyle w:val="Hyperlink"/>
                <w:color w:val="000000" w:themeColor="text1"/>
                <w:spacing w:val="-2"/>
              </w:rPr>
              <w:t xml:space="preserve">previously known as the </w:t>
            </w:r>
            <w:r w:rsidRPr="009A4D26">
              <w:rPr>
                <w:rStyle w:val="Hyperlink"/>
                <w:i/>
                <w:color w:val="000000" w:themeColor="text1"/>
                <w:spacing w:val="-2"/>
              </w:rPr>
              <w:t>Legislative Instruments Act 2003</w:t>
            </w:r>
          </w:p>
        </w:tc>
      </w:tr>
      <w:tr w:rsidR="00E86304" w:rsidRPr="00FD274F" w14:paraId="3B0C7861" w14:textId="77777777" w:rsidTr="00C11826">
        <w:tc>
          <w:tcPr>
            <w:tcW w:w="1413" w:type="dxa"/>
          </w:tcPr>
          <w:p w14:paraId="79B2226D" w14:textId="77777777" w:rsidR="00E86304" w:rsidRPr="009A4D26" w:rsidRDefault="00E86304" w:rsidP="00C11826">
            <w:pPr>
              <w:pStyle w:val="Tabletext"/>
            </w:pPr>
            <w:r>
              <w:t>LIA</w:t>
            </w:r>
          </w:p>
        </w:tc>
        <w:tc>
          <w:tcPr>
            <w:tcW w:w="7513" w:type="dxa"/>
          </w:tcPr>
          <w:p w14:paraId="41DFA011" w14:textId="77777777" w:rsidR="00E86304" w:rsidRPr="009A4D26" w:rsidRDefault="00E86304" w:rsidP="00C11826">
            <w:pPr>
              <w:pStyle w:val="Tabletext"/>
            </w:pPr>
            <w:r>
              <w:t xml:space="preserve">the </w:t>
            </w:r>
            <w:r w:rsidRPr="00FD6A45">
              <w:rPr>
                <w:i/>
              </w:rPr>
              <w:t>Legislative Instruments Act 2003</w:t>
            </w:r>
          </w:p>
        </w:tc>
      </w:tr>
      <w:tr w:rsidR="00E86304" w:rsidRPr="00FD274F" w14:paraId="1329F4C7" w14:textId="77777777" w:rsidTr="00C11826">
        <w:tc>
          <w:tcPr>
            <w:tcW w:w="1413" w:type="dxa"/>
          </w:tcPr>
          <w:p w14:paraId="6872F0A9" w14:textId="77777777" w:rsidR="00E86304" w:rsidRPr="009A4D26" w:rsidRDefault="00E86304" w:rsidP="00C11826">
            <w:pPr>
              <w:pStyle w:val="Tabletext"/>
            </w:pPr>
            <w:proofErr w:type="spellStart"/>
            <w:r w:rsidRPr="009A4D26">
              <w:t>LEOMR</w:t>
            </w:r>
            <w:proofErr w:type="spellEnd"/>
          </w:p>
        </w:tc>
        <w:tc>
          <w:tcPr>
            <w:tcW w:w="7513" w:type="dxa"/>
          </w:tcPr>
          <w:p w14:paraId="1C8771EB" w14:textId="77777777" w:rsidR="00E86304" w:rsidRPr="009A4D26" w:rsidRDefault="00E86304" w:rsidP="00C11826">
            <w:pPr>
              <w:pStyle w:val="Tabletext"/>
              <w:rPr>
                <w:i/>
              </w:rPr>
            </w:pPr>
            <w:r w:rsidRPr="009A4D26">
              <w:t xml:space="preserve">the </w:t>
            </w:r>
            <w:hyperlink r:id="rId646" w:history="1">
              <w:r w:rsidRPr="009A4D26">
                <w:rPr>
                  <w:rStyle w:val="Hyperlink"/>
                  <w:i/>
                </w:rPr>
                <w:t>Legislation (Exemptions and Other Matters) Regulation 2015</w:t>
              </w:r>
            </w:hyperlink>
          </w:p>
        </w:tc>
      </w:tr>
      <w:tr w:rsidR="00E86304" w:rsidRPr="00FD274F" w14:paraId="6C42C286" w14:textId="77777777" w:rsidTr="00C11826">
        <w:tc>
          <w:tcPr>
            <w:tcW w:w="1413" w:type="dxa"/>
          </w:tcPr>
          <w:p w14:paraId="4BA036CE" w14:textId="77777777" w:rsidR="00E86304" w:rsidRPr="009A4D26" w:rsidRDefault="00E86304" w:rsidP="00C11826">
            <w:pPr>
              <w:pStyle w:val="Tabletext"/>
            </w:pPr>
            <w:r>
              <w:t>LR</w:t>
            </w:r>
          </w:p>
        </w:tc>
        <w:tc>
          <w:tcPr>
            <w:tcW w:w="7513" w:type="dxa"/>
          </w:tcPr>
          <w:p w14:paraId="5C6365BC" w14:textId="77777777" w:rsidR="00E86304" w:rsidRPr="00625FF9" w:rsidRDefault="00E86304" w:rsidP="00C11826">
            <w:pPr>
              <w:pStyle w:val="Tabletext"/>
              <w:rPr>
                <w:i/>
                <w:iCs/>
              </w:rPr>
            </w:pPr>
            <w:r>
              <w:t xml:space="preserve">the </w:t>
            </w:r>
            <w:hyperlink r:id="rId647" w:history="1">
              <w:r w:rsidRPr="00001937">
                <w:rPr>
                  <w:rStyle w:val="Hyperlink"/>
                  <w:i/>
                  <w:iCs/>
                </w:rPr>
                <w:t>Legislation Rules 2026</w:t>
              </w:r>
            </w:hyperlink>
          </w:p>
        </w:tc>
      </w:tr>
      <w:tr w:rsidR="00E86304" w:rsidRPr="00FD274F" w14:paraId="1DBC85D9" w14:textId="77777777" w:rsidTr="00C11826">
        <w:tc>
          <w:tcPr>
            <w:tcW w:w="1413" w:type="dxa"/>
          </w:tcPr>
          <w:p w14:paraId="582D77BA" w14:textId="77777777" w:rsidR="00E86304" w:rsidRPr="009A4D26" w:rsidRDefault="00E86304" w:rsidP="00C11826">
            <w:pPr>
              <w:pStyle w:val="Tabletext"/>
            </w:pPr>
            <w:proofErr w:type="spellStart"/>
            <w:r>
              <w:t>OIA</w:t>
            </w:r>
            <w:proofErr w:type="spellEnd"/>
          </w:p>
        </w:tc>
        <w:tc>
          <w:tcPr>
            <w:tcW w:w="7513" w:type="dxa"/>
          </w:tcPr>
          <w:p w14:paraId="63570DE2" w14:textId="77777777" w:rsidR="00E86304" w:rsidRPr="009A4D26" w:rsidRDefault="00E86304" w:rsidP="00C11826">
            <w:pPr>
              <w:pStyle w:val="Tabletext"/>
            </w:pPr>
            <w:r w:rsidRPr="009A4D26">
              <w:t xml:space="preserve">Office of </w:t>
            </w:r>
            <w:r>
              <w:t>Impact Analysis</w:t>
            </w:r>
          </w:p>
        </w:tc>
      </w:tr>
      <w:tr w:rsidR="00E86304" w:rsidRPr="00FD274F" w14:paraId="1DE620E2" w14:textId="77777777" w:rsidTr="00C11826">
        <w:tc>
          <w:tcPr>
            <w:tcW w:w="1413" w:type="dxa"/>
          </w:tcPr>
          <w:p w14:paraId="64679B24" w14:textId="77777777" w:rsidR="00E86304" w:rsidRPr="009A4D26" w:rsidRDefault="00E86304" w:rsidP="00C11826">
            <w:pPr>
              <w:pStyle w:val="Tabletext"/>
            </w:pPr>
            <w:proofErr w:type="spellStart"/>
            <w:r w:rsidRPr="009A4D26">
              <w:t>OPC</w:t>
            </w:r>
            <w:proofErr w:type="spellEnd"/>
          </w:p>
        </w:tc>
        <w:tc>
          <w:tcPr>
            <w:tcW w:w="7513" w:type="dxa"/>
          </w:tcPr>
          <w:p w14:paraId="75B78E97" w14:textId="77777777" w:rsidR="00E86304" w:rsidRPr="009A4D26" w:rsidRDefault="00E86304" w:rsidP="00C11826">
            <w:pPr>
              <w:pStyle w:val="Tabletext"/>
            </w:pPr>
            <w:r w:rsidRPr="00D90FD0">
              <w:t>Office of Parliamentary Counsel</w:t>
            </w:r>
            <w:r w:rsidRPr="00625FF9">
              <w:rPr>
                <w:rStyle w:val="Hyperlink"/>
                <w:color w:val="auto"/>
              </w:rPr>
              <w:t>,</w:t>
            </w:r>
            <w:r w:rsidRPr="009A4D26">
              <w:t xml:space="preserve"> an independent statutory authority accountable to the Attorney</w:t>
            </w:r>
            <w:r w:rsidRPr="009A4D26">
              <w:noBreakHyphen/>
              <w:t>General</w:t>
            </w:r>
          </w:p>
        </w:tc>
      </w:tr>
      <w:tr w:rsidR="00E86304" w:rsidRPr="00FD274F" w14:paraId="7A16B4C3" w14:textId="77777777" w:rsidTr="00C11826">
        <w:tc>
          <w:tcPr>
            <w:tcW w:w="1413" w:type="dxa"/>
            <w:tcBorders>
              <w:bottom w:val="single" w:sz="4" w:space="0" w:color="auto"/>
            </w:tcBorders>
          </w:tcPr>
          <w:p w14:paraId="2088327B" w14:textId="77777777" w:rsidR="00E86304" w:rsidRPr="009A4D26" w:rsidRDefault="00E86304" w:rsidP="00C11826">
            <w:pPr>
              <w:pStyle w:val="Tabletext"/>
            </w:pPr>
            <w:r w:rsidRPr="009A4D26">
              <w:t>Register</w:t>
            </w:r>
          </w:p>
        </w:tc>
        <w:tc>
          <w:tcPr>
            <w:tcW w:w="7513" w:type="dxa"/>
            <w:tcBorders>
              <w:bottom w:val="single" w:sz="4" w:space="0" w:color="auto"/>
            </w:tcBorders>
          </w:tcPr>
          <w:p w14:paraId="24054AE3" w14:textId="77777777" w:rsidR="00E86304" w:rsidRPr="009A4D26" w:rsidRDefault="00E86304" w:rsidP="00C11826">
            <w:pPr>
              <w:pStyle w:val="Tabletext"/>
            </w:pPr>
            <w:r w:rsidRPr="009A4D26">
              <w:t>the Federal Register of Legislation</w:t>
            </w:r>
          </w:p>
        </w:tc>
      </w:tr>
      <w:tr w:rsidR="00E86304" w:rsidRPr="00FD274F" w14:paraId="2B3DADE6" w14:textId="77777777" w:rsidTr="00C11826">
        <w:tc>
          <w:tcPr>
            <w:tcW w:w="1413" w:type="dxa"/>
            <w:tcBorders>
              <w:bottom w:val="single" w:sz="4" w:space="0" w:color="auto"/>
            </w:tcBorders>
          </w:tcPr>
          <w:p w14:paraId="542195EC" w14:textId="77777777" w:rsidR="00E86304" w:rsidRPr="009A4D26" w:rsidRDefault="00E86304" w:rsidP="00C11826">
            <w:pPr>
              <w:pStyle w:val="Tabletext"/>
            </w:pPr>
            <w:r w:rsidRPr="009A4D26">
              <w:t>s</w:t>
            </w:r>
          </w:p>
        </w:tc>
        <w:tc>
          <w:tcPr>
            <w:tcW w:w="7513" w:type="dxa"/>
            <w:tcBorders>
              <w:bottom w:val="single" w:sz="4" w:space="0" w:color="auto"/>
            </w:tcBorders>
          </w:tcPr>
          <w:p w14:paraId="27816CF5" w14:textId="77777777" w:rsidR="00E86304" w:rsidRPr="009A4D26" w:rsidRDefault="00E86304" w:rsidP="00C11826">
            <w:pPr>
              <w:pStyle w:val="Tabletext"/>
            </w:pPr>
            <w:r w:rsidRPr="009A4D26">
              <w:t>section (or equivalent)</w:t>
            </w:r>
          </w:p>
        </w:tc>
      </w:tr>
      <w:tr w:rsidR="00E86304" w:rsidRPr="00FD274F" w14:paraId="1A559814" w14:textId="77777777" w:rsidTr="00C11826">
        <w:tc>
          <w:tcPr>
            <w:tcW w:w="1413" w:type="dxa"/>
            <w:tcBorders>
              <w:bottom w:val="single" w:sz="12" w:space="0" w:color="auto"/>
            </w:tcBorders>
          </w:tcPr>
          <w:p w14:paraId="7845218D" w14:textId="77777777" w:rsidR="00E86304" w:rsidRPr="00FD274F" w:rsidRDefault="00E86304" w:rsidP="00C11826">
            <w:pPr>
              <w:pStyle w:val="Tabletext"/>
            </w:pPr>
            <w:r>
              <w:t>SDLC</w:t>
            </w:r>
          </w:p>
        </w:tc>
        <w:tc>
          <w:tcPr>
            <w:tcW w:w="7513" w:type="dxa"/>
            <w:tcBorders>
              <w:bottom w:val="single" w:sz="12" w:space="0" w:color="auto"/>
            </w:tcBorders>
          </w:tcPr>
          <w:p w14:paraId="0F2505A1" w14:textId="77777777" w:rsidR="00E86304" w:rsidRPr="009A4D26" w:rsidRDefault="00E86304" w:rsidP="00C11826">
            <w:pPr>
              <w:pStyle w:val="Tabletext"/>
            </w:pPr>
            <w:r w:rsidRPr="009A4D26">
              <w:t>Senate Standing Committee for the Scrutiny of Delegated Legislation</w:t>
            </w:r>
          </w:p>
        </w:tc>
      </w:tr>
    </w:tbl>
    <w:p w14:paraId="60B7FFA5" w14:textId="77777777" w:rsidR="00E86304" w:rsidRDefault="00E86304" w:rsidP="00E86304">
      <w:pPr>
        <w:pStyle w:val="BodyNum"/>
        <w:sectPr w:rsidR="00E86304" w:rsidSect="00E86304">
          <w:headerReference w:type="default" r:id="rId648"/>
          <w:footerReference w:type="default" r:id="rId649"/>
          <w:pgSz w:w="11907" w:h="16839" w:code="9"/>
          <w:pgMar w:top="1440" w:right="1440" w:bottom="1418" w:left="1440" w:header="720" w:footer="720" w:gutter="0"/>
          <w:cols w:sep="1" w:space="567"/>
          <w:docGrid w:linePitch="360"/>
        </w:sectPr>
      </w:pPr>
    </w:p>
    <w:p w14:paraId="0DD7489E" w14:textId="77777777" w:rsidR="00E86304" w:rsidRPr="00FD274F" w:rsidRDefault="00E86304" w:rsidP="00E86304">
      <w:pPr>
        <w:pStyle w:val="Head2"/>
      </w:pPr>
      <w:bookmarkStart w:id="215" w:name="_Toc238117598"/>
      <w:r w:rsidRPr="00FD274F">
        <w:lastRenderedPageBreak/>
        <w:t>Document history</w:t>
      </w:r>
      <w:bookmarkEnd w:id="215"/>
    </w:p>
    <w:p w14:paraId="1709898D" w14:textId="77777777" w:rsidR="00E86304" w:rsidRPr="00FD274F" w:rsidRDefault="00E86304" w:rsidP="00E86304">
      <w:pPr>
        <w:pStyle w:val="BodyNum"/>
        <w:numPr>
          <w:ilvl w:val="0"/>
          <w:numId w:val="0"/>
        </w:numPr>
      </w:pPr>
    </w:p>
    <w:tbl>
      <w:tblPr>
        <w:tblW w:w="9027" w:type="dxa"/>
        <w:tblInd w:w="113" w:type="dxa"/>
        <w:tblBorders>
          <w:top w:val="single" w:sz="4" w:space="0" w:color="auto"/>
          <w:bottom w:val="single" w:sz="2" w:space="0" w:color="auto"/>
          <w:insideH w:val="single" w:sz="2" w:space="0" w:color="auto"/>
        </w:tblBorders>
        <w:tblLayout w:type="fixed"/>
        <w:tblLook w:val="04A0" w:firstRow="1" w:lastRow="0" w:firstColumn="1" w:lastColumn="0" w:noHBand="0" w:noVBand="1"/>
      </w:tblPr>
      <w:tblGrid>
        <w:gridCol w:w="3009"/>
        <w:gridCol w:w="3009"/>
        <w:gridCol w:w="3009"/>
      </w:tblGrid>
      <w:tr w:rsidR="00E86304" w:rsidRPr="00FD274F" w14:paraId="55F81DC4" w14:textId="77777777" w:rsidTr="00C11826">
        <w:trPr>
          <w:tblHeader/>
        </w:trPr>
        <w:tc>
          <w:tcPr>
            <w:tcW w:w="9027" w:type="dxa"/>
            <w:gridSpan w:val="3"/>
            <w:tcBorders>
              <w:top w:val="single" w:sz="12" w:space="0" w:color="auto"/>
              <w:bottom w:val="single" w:sz="6" w:space="0" w:color="auto"/>
            </w:tcBorders>
            <w:hideMark/>
          </w:tcPr>
          <w:p w14:paraId="63EEA9E2" w14:textId="77777777" w:rsidR="00E86304" w:rsidRPr="00FD274F" w:rsidRDefault="00E86304" w:rsidP="00C11826">
            <w:pPr>
              <w:pStyle w:val="Tabletext"/>
              <w:keepNext/>
              <w:rPr>
                <w:b/>
                <w:lang w:eastAsia="en-US"/>
              </w:rPr>
            </w:pPr>
            <w:r w:rsidRPr="00FD274F">
              <w:rPr>
                <w:b/>
                <w:lang w:eastAsia="en-US"/>
              </w:rPr>
              <w:t>Document History</w:t>
            </w:r>
          </w:p>
        </w:tc>
      </w:tr>
      <w:tr w:rsidR="00E86304" w:rsidRPr="00FD274F" w14:paraId="1B122783" w14:textId="77777777" w:rsidTr="00C11826">
        <w:trPr>
          <w:tblHeader/>
        </w:trPr>
        <w:tc>
          <w:tcPr>
            <w:tcW w:w="3009" w:type="dxa"/>
            <w:tcBorders>
              <w:top w:val="single" w:sz="6" w:space="0" w:color="auto"/>
              <w:bottom w:val="single" w:sz="12" w:space="0" w:color="auto"/>
            </w:tcBorders>
            <w:hideMark/>
          </w:tcPr>
          <w:p w14:paraId="2A9AB9CD" w14:textId="77777777" w:rsidR="00E86304" w:rsidRPr="00FD274F" w:rsidRDefault="00E86304" w:rsidP="00C11826">
            <w:pPr>
              <w:pStyle w:val="Tabletext"/>
              <w:keepNext/>
              <w:rPr>
                <w:b/>
                <w:lang w:eastAsia="en-US"/>
              </w:rPr>
            </w:pPr>
            <w:r w:rsidRPr="00FD274F">
              <w:rPr>
                <w:b/>
                <w:lang w:eastAsia="en-US"/>
              </w:rPr>
              <w:t>Release</w:t>
            </w:r>
          </w:p>
        </w:tc>
        <w:tc>
          <w:tcPr>
            <w:tcW w:w="3009" w:type="dxa"/>
            <w:tcBorders>
              <w:top w:val="single" w:sz="6" w:space="0" w:color="auto"/>
              <w:bottom w:val="single" w:sz="12" w:space="0" w:color="auto"/>
            </w:tcBorders>
            <w:hideMark/>
          </w:tcPr>
          <w:p w14:paraId="0CD6BFE6" w14:textId="77777777" w:rsidR="00E86304" w:rsidRPr="00FD274F" w:rsidRDefault="00E86304" w:rsidP="00C11826">
            <w:pPr>
              <w:pStyle w:val="Tabletext"/>
              <w:keepNext/>
              <w:rPr>
                <w:b/>
                <w:lang w:eastAsia="en-US"/>
              </w:rPr>
            </w:pPr>
            <w:r w:rsidRPr="00FD274F">
              <w:rPr>
                <w:b/>
                <w:lang w:eastAsia="en-US"/>
              </w:rPr>
              <w:t>Release date</w:t>
            </w:r>
          </w:p>
        </w:tc>
        <w:tc>
          <w:tcPr>
            <w:tcW w:w="3009" w:type="dxa"/>
            <w:tcBorders>
              <w:top w:val="single" w:sz="6" w:space="0" w:color="auto"/>
              <w:bottom w:val="single" w:sz="12" w:space="0" w:color="auto"/>
            </w:tcBorders>
            <w:hideMark/>
          </w:tcPr>
          <w:p w14:paraId="258C868A" w14:textId="77777777" w:rsidR="00E86304" w:rsidRPr="00FD274F" w:rsidRDefault="00E86304" w:rsidP="00C11826">
            <w:pPr>
              <w:pStyle w:val="Tabletext"/>
              <w:keepNext/>
              <w:rPr>
                <w:b/>
                <w:lang w:eastAsia="en-US"/>
              </w:rPr>
            </w:pPr>
            <w:r w:rsidRPr="00FD274F">
              <w:rPr>
                <w:b/>
                <w:lang w:eastAsia="en-US"/>
              </w:rPr>
              <w:t>Document number</w:t>
            </w:r>
          </w:p>
        </w:tc>
      </w:tr>
      <w:tr w:rsidR="00E86304" w:rsidRPr="00FD274F" w14:paraId="22472FC5" w14:textId="77777777" w:rsidTr="00C11826">
        <w:tc>
          <w:tcPr>
            <w:tcW w:w="3009" w:type="dxa"/>
            <w:tcBorders>
              <w:top w:val="single" w:sz="12" w:space="0" w:color="auto"/>
            </w:tcBorders>
            <w:hideMark/>
          </w:tcPr>
          <w:p w14:paraId="22829C17" w14:textId="77777777" w:rsidR="00E86304" w:rsidRPr="00FD274F" w:rsidRDefault="00E86304" w:rsidP="00C11826">
            <w:pPr>
              <w:pStyle w:val="Tabletext"/>
              <w:rPr>
                <w:lang w:eastAsia="en-US"/>
              </w:rPr>
            </w:pPr>
            <w:r w:rsidRPr="00FD274F">
              <w:rPr>
                <w:lang w:eastAsia="en-US"/>
              </w:rPr>
              <w:t>1.0</w:t>
            </w:r>
          </w:p>
        </w:tc>
        <w:tc>
          <w:tcPr>
            <w:tcW w:w="3009" w:type="dxa"/>
            <w:tcBorders>
              <w:top w:val="single" w:sz="12" w:space="0" w:color="auto"/>
            </w:tcBorders>
            <w:hideMark/>
          </w:tcPr>
          <w:p w14:paraId="07AAED7C" w14:textId="77777777" w:rsidR="00E86304" w:rsidRPr="00FD274F" w:rsidRDefault="00E86304" w:rsidP="00C11826">
            <w:pPr>
              <w:pStyle w:val="Tabletext"/>
              <w:rPr>
                <w:lang w:eastAsia="en-US"/>
              </w:rPr>
            </w:pPr>
            <w:r w:rsidRPr="00FD274F">
              <w:rPr>
                <w:lang w:eastAsia="en-US"/>
              </w:rPr>
              <w:t>December 2004</w:t>
            </w:r>
          </w:p>
        </w:tc>
        <w:tc>
          <w:tcPr>
            <w:tcW w:w="3009" w:type="dxa"/>
            <w:tcBorders>
              <w:top w:val="single" w:sz="12" w:space="0" w:color="auto"/>
            </w:tcBorders>
            <w:hideMark/>
          </w:tcPr>
          <w:p w14:paraId="43655A54" w14:textId="77777777" w:rsidR="00E86304" w:rsidRPr="00FD274F" w:rsidRDefault="00E86304" w:rsidP="00C11826">
            <w:pPr>
              <w:pStyle w:val="Tabletext"/>
              <w:rPr>
                <w:lang w:eastAsia="en-US"/>
              </w:rPr>
            </w:pPr>
            <w:r w:rsidRPr="00FD274F">
              <w:rPr>
                <w:lang w:eastAsia="en-US"/>
              </w:rPr>
              <w:t>Not applicable</w:t>
            </w:r>
          </w:p>
        </w:tc>
      </w:tr>
      <w:tr w:rsidR="00E86304" w:rsidRPr="00FD274F" w14:paraId="5E908F0A" w14:textId="77777777" w:rsidTr="00C11826">
        <w:tc>
          <w:tcPr>
            <w:tcW w:w="3009" w:type="dxa"/>
          </w:tcPr>
          <w:p w14:paraId="20005795" w14:textId="77777777" w:rsidR="00E86304" w:rsidRPr="00FD274F" w:rsidRDefault="00E86304" w:rsidP="00C11826">
            <w:pPr>
              <w:pStyle w:val="Tabletext"/>
              <w:rPr>
                <w:lang w:eastAsia="en-US"/>
              </w:rPr>
            </w:pPr>
            <w:r w:rsidRPr="00FD274F">
              <w:rPr>
                <w:lang w:eastAsia="en-US"/>
              </w:rPr>
              <w:t>2.0</w:t>
            </w:r>
          </w:p>
        </w:tc>
        <w:tc>
          <w:tcPr>
            <w:tcW w:w="3009" w:type="dxa"/>
          </w:tcPr>
          <w:p w14:paraId="482CBFC0" w14:textId="77777777" w:rsidR="00E86304" w:rsidRPr="00FD274F" w:rsidRDefault="00E86304" w:rsidP="00C11826">
            <w:pPr>
              <w:pStyle w:val="Tabletext"/>
              <w:rPr>
                <w:lang w:eastAsia="en-US"/>
              </w:rPr>
            </w:pPr>
            <w:r w:rsidRPr="00FD274F">
              <w:rPr>
                <w:lang w:eastAsia="en-US"/>
              </w:rPr>
              <w:t>May 2014</w:t>
            </w:r>
          </w:p>
        </w:tc>
        <w:tc>
          <w:tcPr>
            <w:tcW w:w="3009" w:type="dxa"/>
          </w:tcPr>
          <w:p w14:paraId="77C513AB" w14:textId="77777777" w:rsidR="00E86304" w:rsidRPr="00FD274F" w:rsidRDefault="00E86304" w:rsidP="00C11826">
            <w:pPr>
              <w:pStyle w:val="Tabletext"/>
              <w:rPr>
                <w:lang w:eastAsia="en-US"/>
              </w:rPr>
            </w:pPr>
            <w:r w:rsidRPr="00FD274F">
              <w:rPr>
                <w:lang w:eastAsia="en-US"/>
              </w:rPr>
              <w:t>M13MW111.V25.DOCX</w:t>
            </w:r>
          </w:p>
        </w:tc>
      </w:tr>
      <w:tr w:rsidR="00E86304" w:rsidRPr="00FD274F" w14:paraId="07FA359E" w14:textId="77777777" w:rsidTr="00C11826">
        <w:tc>
          <w:tcPr>
            <w:tcW w:w="3009" w:type="dxa"/>
            <w:hideMark/>
          </w:tcPr>
          <w:p w14:paraId="6ACC5FA7" w14:textId="77777777" w:rsidR="00E86304" w:rsidRPr="00FD274F" w:rsidRDefault="00E86304" w:rsidP="00C11826">
            <w:pPr>
              <w:pStyle w:val="Tabletext"/>
              <w:rPr>
                <w:lang w:eastAsia="en-US"/>
              </w:rPr>
            </w:pPr>
            <w:r w:rsidRPr="00FD274F">
              <w:rPr>
                <w:lang w:eastAsia="en-US"/>
              </w:rPr>
              <w:t>2.1</w:t>
            </w:r>
          </w:p>
        </w:tc>
        <w:tc>
          <w:tcPr>
            <w:tcW w:w="3009" w:type="dxa"/>
            <w:hideMark/>
          </w:tcPr>
          <w:p w14:paraId="3D7E6E86" w14:textId="77777777" w:rsidR="00E86304" w:rsidRPr="00FD274F" w:rsidRDefault="00E86304" w:rsidP="00C11826">
            <w:pPr>
              <w:pStyle w:val="Tabletext"/>
              <w:rPr>
                <w:lang w:eastAsia="en-US"/>
              </w:rPr>
            </w:pPr>
            <w:r w:rsidRPr="00FD274F">
              <w:rPr>
                <w:lang w:eastAsia="en-US"/>
              </w:rPr>
              <w:t>December 2015</w:t>
            </w:r>
          </w:p>
        </w:tc>
        <w:tc>
          <w:tcPr>
            <w:tcW w:w="3009" w:type="dxa"/>
            <w:hideMark/>
          </w:tcPr>
          <w:p w14:paraId="3662D10A" w14:textId="77777777" w:rsidR="00E86304" w:rsidRPr="00FD274F" w:rsidRDefault="00E86304" w:rsidP="00C11826">
            <w:pPr>
              <w:pStyle w:val="Tabletext"/>
              <w:rPr>
                <w:lang w:eastAsia="en-US"/>
              </w:rPr>
            </w:pPr>
            <w:r w:rsidRPr="00FD274F">
              <w:rPr>
                <w:lang w:eastAsia="en-US"/>
              </w:rPr>
              <w:t>M15JF133.V04.DOCX</w:t>
            </w:r>
          </w:p>
        </w:tc>
      </w:tr>
      <w:tr w:rsidR="00E86304" w:rsidRPr="00FD274F" w14:paraId="66453C75" w14:textId="77777777" w:rsidTr="00C11826">
        <w:tc>
          <w:tcPr>
            <w:tcW w:w="3009" w:type="dxa"/>
          </w:tcPr>
          <w:p w14:paraId="24E79EBB" w14:textId="77777777" w:rsidR="00E86304" w:rsidRPr="00FD274F" w:rsidRDefault="00E86304" w:rsidP="00C11826">
            <w:pPr>
              <w:pStyle w:val="Tabletext"/>
              <w:rPr>
                <w:lang w:eastAsia="en-US"/>
              </w:rPr>
            </w:pPr>
            <w:r w:rsidRPr="00FD274F">
              <w:rPr>
                <w:lang w:eastAsia="en-US"/>
              </w:rPr>
              <w:t>3.0</w:t>
            </w:r>
          </w:p>
        </w:tc>
        <w:tc>
          <w:tcPr>
            <w:tcW w:w="3009" w:type="dxa"/>
          </w:tcPr>
          <w:p w14:paraId="64C1257A" w14:textId="77777777" w:rsidR="00E86304" w:rsidRPr="00FD274F" w:rsidRDefault="00E86304" w:rsidP="00C11826">
            <w:pPr>
              <w:pStyle w:val="Tabletext"/>
              <w:rPr>
                <w:lang w:eastAsia="en-US"/>
              </w:rPr>
            </w:pPr>
            <w:r w:rsidRPr="00FD274F">
              <w:rPr>
                <w:lang w:eastAsia="en-US"/>
              </w:rPr>
              <w:t>July 2016</w:t>
            </w:r>
          </w:p>
        </w:tc>
        <w:tc>
          <w:tcPr>
            <w:tcW w:w="3009" w:type="dxa"/>
          </w:tcPr>
          <w:p w14:paraId="60C7A657" w14:textId="77777777" w:rsidR="00E86304" w:rsidRPr="00FD274F" w:rsidRDefault="00E86304" w:rsidP="00C11826">
            <w:pPr>
              <w:pStyle w:val="Tabletext"/>
              <w:rPr>
                <w:lang w:eastAsia="en-US"/>
              </w:rPr>
            </w:pPr>
            <w:r w:rsidRPr="00FD274F">
              <w:rPr>
                <w:lang w:eastAsia="en-US"/>
              </w:rPr>
              <w:t>M16JF136.V02.DOCX</w:t>
            </w:r>
          </w:p>
        </w:tc>
      </w:tr>
      <w:tr w:rsidR="00E86304" w14:paraId="5B523602" w14:textId="77777777" w:rsidTr="00C11826">
        <w:tc>
          <w:tcPr>
            <w:tcW w:w="3009" w:type="dxa"/>
          </w:tcPr>
          <w:p w14:paraId="092D4114" w14:textId="77777777" w:rsidR="00E86304" w:rsidRPr="00FD274F" w:rsidRDefault="00E86304" w:rsidP="00C11826">
            <w:pPr>
              <w:pStyle w:val="Tabletext"/>
              <w:rPr>
                <w:lang w:eastAsia="en-US"/>
              </w:rPr>
            </w:pPr>
            <w:r w:rsidRPr="00FD274F">
              <w:rPr>
                <w:lang w:eastAsia="en-US"/>
              </w:rPr>
              <w:t>3.1</w:t>
            </w:r>
          </w:p>
        </w:tc>
        <w:tc>
          <w:tcPr>
            <w:tcW w:w="3009" w:type="dxa"/>
          </w:tcPr>
          <w:p w14:paraId="28265750" w14:textId="77777777" w:rsidR="00E86304" w:rsidRPr="00FD274F" w:rsidRDefault="00E86304" w:rsidP="00C11826">
            <w:pPr>
              <w:pStyle w:val="Tabletext"/>
              <w:rPr>
                <w:lang w:eastAsia="en-US"/>
              </w:rPr>
            </w:pPr>
            <w:r>
              <w:rPr>
                <w:lang w:eastAsia="en-US"/>
              </w:rPr>
              <w:t>March</w:t>
            </w:r>
            <w:r w:rsidRPr="00FD274F">
              <w:rPr>
                <w:lang w:eastAsia="en-US"/>
              </w:rPr>
              <w:t xml:space="preserve"> 2017</w:t>
            </w:r>
          </w:p>
        </w:tc>
        <w:tc>
          <w:tcPr>
            <w:tcW w:w="3009" w:type="dxa"/>
          </w:tcPr>
          <w:p w14:paraId="61F050A2" w14:textId="77777777" w:rsidR="00E86304" w:rsidRPr="00FD274F" w:rsidRDefault="00E86304" w:rsidP="00C11826">
            <w:pPr>
              <w:pStyle w:val="Tabletext"/>
              <w:rPr>
                <w:lang w:eastAsia="en-US"/>
              </w:rPr>
            </w:pPr>
            <w:r w:rsidRPr="00FD274F">
              <w:rPr>
                <w:lang w:eastAsia="en-US"/>
              </w:rPr>
              <w:t>M17JF142.</w:t>
            </w:r>
            <w:r>
              <w:rPr>
                <w:lang w:eastAsia="en-US"/>
              </w:rPr>
              <w:t>V05.</w:t>
            </w:r>
            <w:r w:rsidRPr="00FD274F">
              <w:rPr>
                <w:lang w:eastAsia="en-US"/>
              </w:rPr>
              <w:t>DOCX</w:t>
            </w:r>
          </w:p>
        </w:tc>
      </w:tr>
      <w:tr w:rsidR="00E86304" w14:paraId="1D410167" w14:textId="77777777" w:rsidTr="00C11826">
        <w:tc>
          <w:tcPr>
            <w:tcW w:w="3009" w:type="dxa"/>
          </w:tcPr>
          <w:p w14:paraId="7BEEDECA" w14:textId="77777777" w:rsidR="00E86304" w:rsidRPr="000C6703" w:rsidRDefault="00E86304" w:rsidP="00C11826">
            <w:pPr>
              <w:pStyle w:val="Tabletext"/>
              <w:rPr>
                <w:lang w:eastAsia="en-US"/>
              </w:rPr>
            </w:pPr>
            <w:r w:rsidRPr="000C6703">
              <w:rPr>
                <w:lang w:eastAsia="en-US"/>
              </w:rPr>
              <w:t>3.2</w:t>
            </w:r>
          </w:p>
        </w:tc>
        <w:tc>
          <w:tcPr>
            <w:tcW w:w="3009" w:type="dxa"/>
          </w:tcPr>
          <w:p w14:paraId="15E5D316" w14:textId="77777777" w:rsidR="00E86304" w:rsidRPr="000C6703" w:rsidRDefault="00E86304" w:rsidP="00C11826">
            <w:pPr>
              <w:pStyle w:val="Tabletext"/>
              <w:rPr>
                <w:lang w:eastAsia="en-US"/>
              </w:rPr>
            </w:pPr>
            <w:r w:rsidRPr="000C6703">
              <w:rPr>
                <w:lang w:eastAsia="en-US"/>
              </w:rPr>
              <w:t>March 2018</w:t>
            </w:r>
          </w:p>
        </w:tc>
        <w:tc>
          <w:tcPr>
            <w:tcW w:w="3009" w:type="dxa"/>
          </w:tcPr>
          <w:p w14:paraId="2CDFB575" w14:textId="77777777" w:rsidR="00E86304" w:rsidRPr="00FD274F" w:rsidRDefault="00E86304" w:rsidP="00C11826">
            <w:pPr>
              <w:pStyle w:val="Tabletext"/>
              <w:rPr>
                <w:lang w:eastAsia="en-US"/>
              </w:rPr>
            </w:pPr>
            <w:r w:rsidRPr="00FD274F">
              <w:rPr>
                <w:lang w:eastAsia="en-US"/>
              </w:rPr>
              <w:t>M17JF142.</w:t>
            </w:r>
            <w:r>
              <w:rPr>
                <w:lang w:eastAsia="en-US"/>
              </w:rPr>
              <w:t>V11.</w:t>
            </w:r>
            <w:r w:rsidRPr="00FD274F">
              <w:rPr>
                <w:lang w:eastAsia="en-US"/>
              </w:rPr>
              <w:t>DOCX</w:t>
            </w:r>
          </w:p>
        </w:tc>
      </w:tr>
      <w:tr w:rsidR="00E86304" w14:paraId="541D7763" w14:textId="77777777" w:rsidTr="00C11826">
        <w:tc>
          <w:tcPr>
            <w:tcW w:w="3009" w:type="dxa"/>
          </w:tcPr>
          <w:p w14:paraId="61DF9339" w14:textId="77777777" w:rsidR="00E86304" w:rsidRPr="000C6703" w:rsidRDefault="00E86304" w:rsidP="00C11826">
            <w:pPr>
              <w:pStyle w:val="Tabletext"/>
              <w:rPr>
                <w:lang w:eastAsia="en-US"/>
              </w:rPr>
            </w:pPr>
            <w:r>
              <w:rPr>
                <w:lang w:eastAsia="en-US"/>
              </w:rPr>
              <w:t>3.3</w:t>
            </w:r>
          </w:p>
        </w:tc>
        <w:tc>
          <w:tcPr>
            <w:tcW w:w="3009" w:type="dxa"/>
          </w:tcPr>
          <w:p w14:paraId="591FE47F" w14:textId="77777777" w:rsidR="00E86304" w:rsidRPr="000C6703" w:rsidRDefault="00E86304" w:rsidP="00C11826">
            <w:pPr>
              <w:pStyle w:val="Tabletext"/>
              <w:rPr>
                <w:lang w:eastAsia="en-US"/>
              </w:rPr>
            </w:pPr>
            <w:r>
              <w:rPr>
                <w:lang w:eastAsia="en-US"/>
              </w:rPr>
              <w:t>June 2018</w:t>
            </w:r>
          </w:p>
        </w:tc>
        <w:tc>
          <w:tcPr>
            <w:tcW w:w="3009" w:type="dxa"/>
          </w:tcPr>
          <w:p w14:paraId="378DC077" w14:textId="77777777" w:rsidR="00E86304" w:rsidRPr="00FD274F" w:rsidRDefault="00E86304" w:rsidP="00C11826">
            <w:pPr>
              <w:pStyle w:val="Tabletext"/>
              <w:rPr>
                <w:lang w:eastAsia="en-US"/>
              </w:rPr>
            </w:pPr>
            <w:r w:rsidRPr="00FD274F">
              <w:rPr>
                <w:lang w:eastAsia="en-US"/>
              </w:rPr>
              <w:t>M17JF142.</w:t>
            </w:r>
            <w:r>
              <w:rPr>
                <w:lang w:eastAsia="en-US"/>
              </w:rPr>
              <w:t>V12.</w:t>
            </w:r>
            <w:r w:rsidRPr="00FD274F">
              <w:rPr>
                <w:lang w:eastAsia="en-US"/>
              </w:rPr>
              <w:t>DOCX</w:t>
            </w:r>
          </w:p>
        </w:tc>
      </w:tr>
      <w:tr w:rsidR="00E86304" w14:paraId="1F099C5B" w14:textId="77777777" w:rsidTr="00C11826">
        <w:tc>
          <w:tcPr>
            <w:tcW w:w="3009" w:type="dxa"/>
          </w:tcPr>
          <w:p w14:paraId="0979E8DC" w14:textId="77777777" w:rsidR="00E86304" w:rsidRDefault="00E86304" w:rsidP="00C11826">
            <w:pPr>
              <w:pStyle w:val="Tabletext"/>
              <w:rPr>
                <w:lang w:eastAsia="en-US"/>
              </w:rPr>
            </w:pPr>
            <w:r>
              <w:rPr>
                <w:lang w:eastAsia="en-US"/>
              </w:rPr>
              <w:t>3.4</w:t>
            </w:r>
          </w:p>
        </w:tc>
        <w:tc>
          <w:tcPr>
            <w:tcW w:w="3009" w:type="dxa"/>
          </w:tcPr>
          <w:p w14:paraId="24E6F5DF" w14:textId="77777777" w:rsidR="00E86304" w:rsidRDefault="00E86304" w:rsidP="00C11826">
            <w:pPr>
              <w:pStyle w:val="Tabletext"/>
              <w:rPr>
                <w:lang w:eastAsia="en-US"/>
              </w:rPr>
            </w:pPr>
            <w:r>
              <w:rPr>
                <w:lang w:eastAsia="en-US"/>
              </w:rPr>
              <w:t>November 2018</w:t>
            </w:r>
          </w:p>
        </w:tc>
        <w:tc>
          <w:tcPr>
            <w:tcW w:w="3009" w:type="dxa"/>
          </w:tcPr>
          <w:p w14:paraId="4B733D75" w14:textId="77777777" w:rsidR="00E86304" w:rsidRPr="00FD274F" w:rsidRDefault="00E86304" w:rsidP="00C11826">
            <w:pPr>
              <w:pStyle w:val="Tabletext"/>
              <w:rPr>
                <w:lang w:eastAsia="en-US"/>
              </w:rPr>
            </w:pPr>
            <w:r w:rsidRPr="00FD274F">
              <w:rPr>
                <w:lang w:eastAsia="en-US"/>
              </w:rPr>
              <w:t>M17JF142.</w:t>
            </w:r>
            <w:r>
              <w:rPr>
                <w:lang w:eastAsia="en-US"/>
              </w:rPr>
              <w:t>V20.</w:t>
            </w:r>
            <w:r w:rsidRPr="00FD274F">
              <w:rPr>
                <w:lang w:eastAsia="en-US"/>
              </w:rPr>
              <w:t>DOCX</w:t>
            </w:r>
          </w:p>
        </w:tc>
      </w:tr>
      <w:tr w:rsidR="00E86304" w14:paraId="05CE724F" w14:textId="77777777" w:rsidTr="00C11826">
        <w:tc>
          <w:tcPr>
            <w:tcW w:w="3009" w:type="dxa"/>
            <w:tcBorders>
              <w:bottom w:val="single" w:sz="2" w:space="0" w:color="auto"/>
            </w:tcBorders>
          </w:tcPr>
          <w:p w14:paraId="4EC00348" w14:textId="77777777" w:rsidR="00E86304" w:rsidRDefault="00E86304" w:rsidP="00C11826">
            <w:pPr>
              <w:pStyle w:val="Tabletext"/>
              <w:rPr>
                <w:lang w:eastAsia="en-US"/>
              </w:rPr>
            </w:pPr>
            <w:r>
              <w:rPr>
                <w:lang w:eastAsia="en-US"/>
              </w:rPr>
              <w:t>3.5</w:t>
            </w:r>
          </w:p>
        </w:tc>
        <w:tc>
          <w:tcPr>
            <w:tcW w:w="3009" w:type="dxa"/>
            <w:tcBorders>
              <w:bottom w:val="single" w:sz="2" w:space="0" w:color="auto"/>
            </w:tcBorders>
          </w:tcPr>
          <w:p w14:paraId="374AD226" w14:textId="77777777" w:rsidR="00E86304" w:rsidRDefault="00E86304" w:rsidP="00C11826">
            <w:pPr>
              <w:pStyle w:val="Tabletext"/>
              <w:rPr>
                <w:lang w:eastAsia="en-US"/>
              </w:rPr>
            </w:pPr>
            <w:r>
              <w:rPr>
                <w:lang w:eastAsia="en-US"/>
              </w:rPr>
              <w:t>May 2019</w:t>
            </w:r>
          </w:p>
        </w:tc>
        <w:tc>
          <w:tcPr>
            <w:tcW w:w="3009" w:type="dxa"/>
            <w:tcBorders>
              <w:bottom w:val="single" w:sz="2" w:space="0" w:color="auto"/>
            </w:tcBorders>
          </w:tcPr>
          <w:p w14:paraId="4C6CD259" w14:textId="77777777" w:rsidR="00E86304" w:rsidRPr="00637CF2" w:rsidRDefault="00E86304" w:rsidP="00C11826">
            <w:pPr>
              <w:pStyle w:val="Tabletext"/>
              <w:rPr>
                <w:lang w:eastAsia="en-US"/>
              </w:rPr>
            </w:pPr>
            <w:r w:rsidRPr="00637CF2">
              <w:rPr>
                <w:lang w:eastAsia="en-US"/>
              </w:rPr>
              <w:t>M17JF142.V24</w:t>
            </w:r>
            <w:r>
              <w:rPr>
                <w:lang w:eastAsia="en-US"/>
              </w:rPr>
              <w:t>.</w:t>
            </w:r>
            <w:r w:rsidRPr="00637CF2">
              <w:rPr>
                <w:lang w:eastAsia="en-US"/>
              </w:rPr>
              <w:t>DOCX</w:t>
            </w:r>
          </w:p>
        </w:tc>
      </w:tr>
      <w:tr w:rsidR="00E86304" w:rsidRPr="00632A07" w14:paraId="34956AE0" w14:textId="77777777" w:rsidTr="00C11826">
        <w:tc>
          <w:tcPr>
            <w:tcW w:w="3009" w:type="dxa"/>
            <w:tcBorders>
              <w:top w:val="single" w:sz="2" w:space="0" w:color="auto"/>
              <w:bottom w:val="single" w:sz="2" w:space="0" w:color="auto"/>
            </w:tcBorders>
          </w:tcPr>
          <w:p w14:paraId="5C03E93C" w14:textId="77777777" w:rsidR="00E86304" w:rsidRPr="00632A07" w:rsidRDefault="00E86304" w:rsidP="00C11826">
            <w:pPr>
              <w:pStyle w:val="Tabletext"/>
              <w:rPr>
                <w:lang w:eastAsia="en-US"/>
              </w:rPr>
            </w:pPr>
            <w:r w:rsidRPr="00632A07">
              <w:rPr>
                <w:lang w:eastAsia="en-US"/>
              </w:rPr>
              <w:t>3.6</w:t>
            </w:r>
          </w:p>
        </w:tc>
        <w:tc>
          <w:tcPr>
            <w:tcW w:w="3009" w:type="dxa"/>
            <w:tcBorders>
              <w:top w:val="single" w:sz="2" w:space="0" w:color="auto"/>
              <w:bottom w:val="single" w:sz="2" w:space="0" w:color="auto"/>
            </w:tcBorders>
          </w:tcPr>
          <w:p w14:paraId="1D1786E7" w14:textId="77777777" w:rsidR="00E86304" w:rsidRPr="00632A07" w:rsidRDefault="00E86304" w:rsidP="00C11826">
            <w:pPr>
              <w:pStyle w:val="Tabletext"/>
              <w:rPr>
                <w:lang w:eastAsia="en-US"/>
              </w:rPr>
            </w:pPr>
            <w:r w:rsidRPr="00632A07">
              <w:rPr>
                <w:lang w:eastAsia="en-US"/>
              </w:rPr>
              <w:t>August 2022</w:t>
            </w:r>
          </w:p>
        </w:tc>
        <w:tc>
          <w:tcPr>
            <w:tcW w:w="3009" w:type="dxa"/>
            <w:tcBorders>
              <w:top w:val="single" w:sz="2" w:space="0" w:color="auto"/>
              <w:bottom w:val="single" w:sz="2" w:space="0" w:color="auto"/>
            </w:tcBorders>
          </w:tcPr>
          <w:p w14:paraId="2A9F192C" w14:textId="77777777" w:rsidR="00E86304" w:rsidRPr="00632A07" w:rsidRDefault="00E86304" w:rsidP="00C11826">
            <w:pPr>
              <w:pStyle w:val="Tabletext"/>
              <w:rPr>
                <w:lang w:eastAsia="en-US"/>
              </w:rPr>
            </w:pPr>
            <w:r w:rsidRPr="00632A07">
              <w:rPr>
                <w:lang w:eastAsia="en-US"/>
              </w:rPr>
              <w:t>M17JF142.V36.DOCX</w:t>
            </w:r>
          </w:p>
        </w:tc>
      </w:tr>
      <w:tr w:rsidR="00E86304" w:rsidRPr="00632A07" w14:paraId="1B2C7954" w14:textId="77777777" w:rsidTr="00C11826">
        <w:tc>
          <w:tcPr>
            <w:tcW w:w="3009" w:type="dxa"/>
            <w:tcBorders>
              <w:top w:val="single" w:sz="2" w:space="0" w:color="auto"/>
              <w:bottom w:val="single" w:sz="2" w:space="0" w:color="auto"/>
            </w:tcBorders>
          </w:tcPr>
          <w:p w14:paraId="6331EE90" w14:textId="77777777" w:rsidR="00E86304" w:rsidRPr="00632A07" w:rsidRDefault="00E86304" w:rsidP="00C11826">
            <w:pPr>
              <w:pStyle w:val="Tabletext"/>
              <w:rPr>
                <w:lang w:eastAsia="en-US"/>
              </w:rPr>
            </w:pPr>
            <w:r w:rsidRPr="00632A07">
              <w:rPr>
                <w:lang w:eastAsia="en-US"/>
              </w:rPr>
              <w:t>3.7</w:t>
            </w:r>
          </w:p>
        </w:tc>
        <w:tc>
          <w:tcPr>
            <w:tcW w:w="3009" w:type="dxa"/>
            <w:tcBorders>
              <w:top w:val="single" w:sz="2" w:space="0" w:color="auto"/>
              <w:bottom w:val="single" w:sz="2" w:space="0" w:color="auto"/>
            </w:tcBorders>
          </w:tcPr>
          <w:p w14:paraId="0D99E654" w14:textId="77777777" w:rsidR="00E86304" w:rsidRPr="00632A07" w:rsidRDefault="00E86304" w:rsidP="00C11826">
            <w:pPr>
              <w:pStyle w:val="Tabletext"/>
              <w:rPr>
                <w:lang w:eastAsia="en-US"/>
              </w:rPr>
            </w:pPr>
            <w:r w:rsidRPr="00632A07">
              <w:rPr>
                <w:lang w:eastAsia="en-US"/>
              </w:rPr>
              <w:t>September 2022</w:t>
            </w:r>
          </w:p>
        </w:tc>
        <w:tc>
          <w:tcPr>
            <w:tcW w:w="3009" w:type="dxa"/>
            <w:tcBorders>
              <w:top w:val="single" w:sz="2" w:space="0" w:color="auto"/>
              <w:bottom w:val="single" w:sz="2" w:space="0" w:color="auto"/>
            </w:tcBorders>
          </w:tcPr>
          <w:p w14:paraId="6425DA16" w14:textId="77777777" w:rsidR="00E86304" w:rsidRPr="00632A07" w:rsidRDefault="00E86304" w:rsidP="00C11826">
            <w:pPr>
              <w:pStyle w:val="Tabletext"/>
              <w:rPr>
                <w:lang w:eastAsia="en-US"/>
              </w:rPr>
            </w:pPr>
            <w:r w:rsidRPr="00632A07">
              <w:rPr>
                <w:lang w:eastAsia="en-US"/>
              </w:rPr>
              <w:t>M17JF142.V40.DOCX</w:t>
            </w:r>
          </w:p>
        </w:tc>
      </w:tr>
      <w:tr w:rsidR="00E86304" w:rsidRPr="00632A07" w14:paraId="16D6C489" w14:textId="77777777" w:rsidTr="00C11826">
        <w:tc>
          <w:tcPr>
            <w:tcW w:w="3009" w:type="dxa"/>
            <w:tcBorders>
              <w:top w:val="single" w:sz="2" w:space="0" w:color="auto"/>
              <w:bottom w:val="single" w:sz="2" w:space="0" w:color="auto"/>
            </w:tcBorders>
          </w:tcPr>
          <w:p w14:paraId="14373E3F" w14:textId="77777777" w:rsidR="00E86304" w:rsidRPr="00632A07" w:rsidRDefault="00E86304" w:rsidP="00C11826">
            <w:pPr>
              <w:pStyle w:val="Tabletext"/>
              <w:rPr>
                <w:lang w:eastAsia="en-US"/>
              </w:rPr>
            </w:pPr>
            <w:r w:rsidRPr="00632A07">
              <w:rPr>
                <w:lang w:eastAsia="en-US"/>
              </w:rPr>
              <w:t>3.8</w:t>
            </w:r>
          </w:p>
        </w:tc>
        <w:tc>
          <w:tcPr>
            <w:tcW w:w="3009" w:type="dxa"/>
            <w:tcBorders>
              <w:top w:val="single" w:sz="2" w:space="0" w:color="auto"/>
              <w:bottom w:val="single" w:sz="2" w:space="0" w:color="auto"/>
            </w:tcBorders>
          </w:tcPr>
          <w:p w14:paraId="265BA93E" w14:textId="77777777" w:rsidR="00E86304" w:rsidRPr="00632A07" w:rsidRDefault="00E86304" w:rsidP="00C11826">
            <w:pPr>
              <w:pStyle w:val="Tabletext"/>
              <w:rPr>
                <w:lang w:eastAsia="en-US"/>
              </w:rPr>
            </w:pPr>
            <w:r w:rsidRPr="00632A07">
              <w:rPr>
                <w:lang w:eastAsia="en-US"/>
              </w:rPr>
              <w:t>December 2024</w:t>
            </w:r>
          </w:p>
        </w:tc>
        <w:tc>
          <w:tcPr>
            <w:tcW w:w="3009" w:type="dxa"/>
            <w:tcBorders>
              <w:top w:val="single" w:sz="2" w:space="0" w:color="auto"/>
              <w:bottom w:val="single" w:sz="2" w:space="0" w:color="auto"/>
            </w:tcBorders>
          </w:tcPr>
          <w:p w14:paraId="25786566" w14:textId="77777777" w:rsidR="00E86304" w:rsidRPr="00632A07" w:rsidRDefault="00E86304" w:rsidP="00C11826">
            <w:pPr>
              <w:pStyle w:val="Tabletext"/>
              <w:rPr>
                <w:lang w:eastAsia="en-US"/>
              </w:rPr>
            </w:pPr>
            <w:r w:rsidRPr="00632A07">
              <w:rPr>
                <w:lang w:eastAsia="en-US"/>
              </w:rPr>
              <w:t>M17JF142.V53.DOCX</w:t>
            </w:r>
          </w:p>
        </w:tc>
      </w:tr>
      <w:tr w:rsidR="00E86304" w14:paraId="4D4BF903" w14:textId="77777777" w:rsidTr="00C11826">
        <w:tc>
          <w:tcPr>
            <w:tcW w:w="3009" w:type="dxa"/>
            <w:tcBorders>
              <w:top w:val="single" w:sz="2" w:space="0" w:color="auto"/>
              <w:bottom w:val="single" w:sz="2" w:space="0" w:color="auto"/>
            </w:tcBorders>
          </w:tcPr>
          <w:p w14:paraId="483E8460" w14:textId="77777777" w:rsidR="00E86304" w:rsidRPr="00632A07" w:rsidRDefault="00E86304" w:rsidP="00C11826">
            <w:pPr>
              <w:pStyle w:val="Tabletext"/>
              <w:rPr>
                <w:lang w:eastAsia="en-US"/>
              </w:rPr>
            </w:pPr>
            <w:r w:rsidRPr="00632A07">
              <w:rPr>
                <w:lang w:eastAsia="en-US"/>
              </w:rPr>
              <w:t>3.9</w:t>
            </w:r>
          </w:p>
        </w:tc>
        <w:tc>
          <w:tcPr>
            <w:tcW w:w="3009" w:type="dxa"/>
            <w:tcBorders>
              <w:top w:val="single" w:sz="2" w:space="0" w:color="auto"/>
              <w:bottom w:val="single" w:sz="2" w:space="0" w:color="auto"/>
            </w:tcBorders>
          </w:tcPr>
          <w:p w14:paraId="21693117" w14:textId="77777777" w:rsidR="00E86304" w:rsidRPr="00632A07" w:rsidRDefault="00E86304" w:rsidP="00C11826">
            <w:pPr>
              <w:pStyle w:val="Tabletext"/>
              <w:rPr>
                <w:lang w:eastAsia="en-US"/>
              </w:rPr>
            </w:pPr>
            <w:r w:rsidRPr="00632A07">
              <w:rPr>
                <w:lang w:eastAsia="en-US"/>
              </w:rPr>
              <w:t>March 2026</w:t>
            </w:r>
          </w:p>
        </w:tc>
        <w:tc>
          <w:tcPr>
            <w:tcW w:w="3009" w:type="dxa"/>
            <w:tcBorders>
              <w:top w:val="single" w:sz="2" w:space="0" w:color="auto"/>
              <w:bottom w:val="single" w:sz="2" w:space="0" w:color="auto"/>
            </w:tcBorders>
          </w:tcPr>
          <w:p w14:paraId="5B8D0D81" w14:textId="77777777" w:rsidR="00E86304" w:rsidRPr="00632A07" w:rsidRDefault="00E86304" w:rsidP="00C11826">
            <w:pPr>
              <w:pStyle w:val="Tabletext"/>
              <w:rPr>
                <w:lang w:eastAsia="en-US"/>
              </w:rPr>
            </w:pPr>
            <w:r w:rsidRPr="00632A07">
              <w:rPr>
                <w:lang w:eastAsia="en-US"/>
              </w:rPr>
              <w:t>M17JF142.V6</w:t>
            </w:r>
            <w:r>
              <w:rPr>
                <w:lang w:eastAsia="en-US"/>
              </w:rPr>
              <w:t>2</w:t>
            </w:r>
            <w:r w:rsidRPr="00632A07">
              <w:rPr>
                <w:lang w:eastAsia="en-US"/>
              </w:rPr>
              <w:t>.DOCX</w:t>
            </w:r>
          </w:p>
        </w:tc>
      </w:tr>
      <w:tr w:rsidR="00E86304" w14:paraId="71283AF6" w14:textId="77777777" w:rsidTr="00C11826">
        <w:tc>
          <w:tcPr>
            <w:tcW w:w="3009" w:type="dxa"/>
            <w:tcBorders>
              <w:top w:val="single" w:sz="2" w:space="0" w:color="auto"/>
              <w:bottom w:val="single" w:sz="12" w:space="0" w:color="auto"/>
            </w:tcBorders>
          </w:tcPr>
          <w:p w14:paraId="769CB82F" w14:textId="77777777" w:rsidR="00E86304" w:rsidRPr="00632A07" w:rsidRDefault="00E86304" w:rsidP="00C11826">
            <w:pPr>
              <w:pStyle w:val="Tabletext"/>
              <w:rPr>
                <w:lang w:eastAsia="en-US"/>
              </w:rPr>
            </w:pPr>
            <w:r>
              <w:rPr>
                <w:lang w:eastAsia="en-US"/>
              </w:rPr>
              <w:t>4.0</w:t>
            </w:r>
          </w:p>
        </w:tc>
        <w:tc>
          <w:tcPr>
            <w:tcW w:w="3009" w:type="dxa"/>
            <w:tcBorders>
              <w:top w:val="single" w:sz="2" w:space="0" w:color="auto"/>
              <w:bottom w:val="single" w:sz="12" w:space="0" w:color="auto"/>
            </w:tcBorders>
          </w:tcPr>
          <w:p w14:paraId="7552E9F1" w14:textId="77777777" w:rsidR="00E86304" w:rsidRPr="00632A07" w:rsidRDefault="00E86304" w:rsidP="00C11826">
            <w:pPr>
              <w:pStyle w:val="Tabletext"/>
              <w:rPr>
                <w:lang w:eastAsia="en-US"/>
              </w:rPr>
            </w:pPr>
            <w:r>
              <w:rPr>
                <w:lang w:eastAsia="en-US"/>
              </w:rPr>
              <w:t>September 2026</w:t>
            </w:r>
          </w:p>
        </w:tc>
        <w:tc>
          <w:tcPr>
            <w:tcW w:w="3009" w:type="dxa"/>
            <w:tcBorders>
              <w:top w:val="single" w:sz="2" w:space="0" w:color="auto"/>
              <w:bottom w:val="single" w:sz="12" w:space="0" w:color="auto"/>
            </w:tcBorders>
          </w:tcPr>
          <w:p w14:paraId="08E5C0F5" w14:textId="77777777" w:rsidR="00E86304" w:rsidRPr="00632A07" w:rsidRDefault="00E86304" w:rsidP="00C11826">
            <w:pPr>
              <w:pStyle w:val="Tabletext"/>
              <w:rPr>
                <w:lang w:eastAsia="en-US"/>
              </w:rPr>
            </w:pPr>
            <w:r>
              <w:rPr>
                <w:lang w:eastAsia="en-US"/>
              </w:rPr>
              <w:t>M17JF142.V69.DOCX</w:t>
            </w:r>
          </w:p>
        </w:tc>
      </w:tr>
    </w:tbl>
    <w:p w14:paraId="2F6AE5E8" w14:textId="77777777" w:rsidR="00E86304" w:rsidRPr="00A46E7A" w:rsidRDefault="00E86304" w:rsidP="00E86304">
      <w:pPr>
        <w:pStyle w:val="Tabletext"/>
      </w:pPr>
    </w:p>
    <w:sectPr w:rsidR="00E86304" w:rsidRPr="00A46E7A" w:rsidSect="00590636">
      <w:headerReference w:type="default" r:id="rId650"/>
      <w:footerReference w:type="default" r:id="rId651"/>
      <w:pgSz w:w="11907" w:h="16839" w:code="9"/>
      <w:pgMar w:top="1440" w:right="1440" w:bottom="1440" w:left="1440" w:header="720" w:footer="567" w:gutter="0"/>
      <w:cols w:sep="1" w:space="56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7DB468" w14:textId="77777777" w:rsidR="008D4836" w:rsidRDefault="008D4836" w:rsidP="00610D12">
      <w:pPr>
        <w:spacing w:line="240" w:lineRule="auto"/>
      </w:pPr>
      <w:r>
        <w:separator/>
      </w:r>
    </w:p>
  </w:endnote>
  <w:endnote w:type="continuationSeparator" w:id="0">
    <w:p w14:paraId="6DB1E1A4" w14:textId="77777777" w:rsidR="008D4836" w:rsidRDefault="008D4836" w:rsidP="00610D1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Helvetica">
    <w:panose1 w:val="020B0604020202020204"/>
    <w:charset w:val="00"/>
    <w:family w:val="swiss"/>
    <w:pitch w:val="variable"/>
    <w:sig w:usb0="E0002EFF" w:usb1="C000785B" w:usb2="00000009" w:usb3="00000000" w:csb0="000001FF" w:csb1="00000000"/>
  </w:font>
  <w:font w:name="Optima">
    <w:altName w:val="Calibri"/>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44719" w14:textId="77777777" w:rsidR="00E86304" w:rsidRDefault="00E86304" w:rsidP="0078297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lxxxiv</w:t>
    </w:r>
    <w:r>
      <w:rPr>
        <w:rStyle w:val="PageNumber"/>
      </w:rPr>
      <w:fldChar w:fldCharType="end"/>
    </w:r>
  </w:p>
  <w:p w14:paraId="6B585F59" w14:textId="77777777" w:rsidR="00E86304" w:rsidRDefault="00E86304" w:rsidP="0078297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D01EA" w14:textId="77777777" w:rsidR="00E86304" w:rsidRDefault="00E86304" w:rsidP="00782976">
    <w:pPr>
      <w:tabs>
        <w:tab w:val="right" w:pos="8931"/>
      </w:tabs>
      <w:rPr>
        <w:sz w:val="16"/>
      </w:rPr>
    </w:pPr>
    <w:r>
      <w:rPr>
        <w:sz w:val="16"/>
      </w:rPr>
      <w:tab/>
    </w: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vi</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EBA56" w14:textId="77777777" w:rsidR="00E86304" w:rsidRPr="00E33C1C" w:rsidRDefault="00E86304" w:rsidP="00D90167">
    <w:pPr>
      <w:pBdr>
        <w:top w:val="single" w:sz="6" w:space="1" w:color="auto"/>
      </w:pBdr>
      <w:spacing w:before="240" w:line="0" w:lineRule="atLeast"/>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2"/>
      <w:gridCol w:w="6272"/>
      <w:gridCol w:w="1393"/>
    </w:tblGrid>
    <w:tr w:rsidR="00E86304" w:rsidRPr="00550D22" w14:paraId="27818ADE" w14:textId="77777777" w:rsidTr="00746A03">
      <w:tc>
        <w:tcPr>
          <w:tcW w:w="1384" w:type="dxa"/>
          <w:tcBorders>
            <w:top w:val="nil"/>
            <w:left w:val="nil"/>
            <w:bottom w:val="nil"/>
            <w:right w:val="nil"/>
          </w:tcBorders>
        </w:tcPr>
        <w:p w14:paraId="1B6F32D6" w14:textId="77777777" w:rsidR="00E86304" w:rsidRPr="00AF024F" w:rsidRDefault="00E86304" w:rsidP="00746A03">
          <w:pPr>
            <w:spacing w:line="0" w:lineRule="atLeast"/>
            <w:rPr>
              <w:i/>
              <w:sz w:val="18"/>
            </w:rPr>
          </w:pPr>
          <w:r w:rsidRPr="00AF024F">
            <w:rPr>
              <w:i/>
              <w:sz w:val="18"/>
            </w:rPr>
            <w:fldChar w:fldCharType="begin"/>
          </w:r>
          <w:r w:rsidRPr="00AF024F">
            <w:rPr>
              <w:i/>
              <w:sz w:val="18"/>
            </w:rPr>
            <w:instrText xml:space="preserve"> PAGE </w:instrText>
          </w:r>
          <w:r w:rsidRPr="00AF024F">
            <w:rPr>
              <w:i/>
              <w:sz w:val="18"/>
            </w:rPr>
            <w:fldChar w:fldCharType="separate"/>
          </w:r>
          <w:r>
            <w:rPr>
              <w:i/>
              <w:noProof/>
              <w:sz w:val="18"/>
            </w:rPr>
            <w:t>84</w:t>
          </w:r>
          <w:r w:rsidRPr="00AF024F">
            <w:rPr>
              <w:i/>
              <w:sz w:val="18"/>
            </w:rPr>
            <w:fldChar w:fldCharType="end"/>
          </w:r>
        </w:p>
      </w:tc>
      <w:tc>
        <w:tcPr>
          <w:tcW w:w="6379" w:type="dxa"/>
          <w:tcBorders>
            <w:top w:val="nil"/>
            <w:left w:val="nil"/>
            <w:bottom w:val="nil"/>
            <w:right w:val="nil"/>
          </w:tcBorders>
        </w:tcPr>
        <w:p w14:paraId="13FDFB10" w14:textId="77777777" w:rsidR="00E86304" w:rsidRPr="00550D22" w:rsidRDefault="00E86304" w:rsidP="00590636">
          <w:pPr>
            <w:spacing w:line="0" w:lineRule="atLeast"/>
            <w:jc w:val="center"/>
            <w:rPr>
              <w:sz w:val="18"/>
            </w:rPr>
          </w:pPr>
          <w:r>
            <w:rPr>
              <w:i/>
              <w:sz w:val="18"/>
            </w:rPr>
            <w:fldChar w:fldCharType="begin"/>
          </w:r>
          <w:r>
            <w:rPr>
              <w:i/>
              <w:sz w:val="18"/>
            </w:rPr>
            <w:instrText xml:space="preserve"> TITLE   \* MERGEFORMAT </w:instrText>
          </w:r>
          <w:r>
            <w:rPr>
              <w:i/>
              <w:sz w:val="18"/>
            </w:rPr>
            <w:fldChar w:fldCharType="separate"/>
          </w:r>
          <w:r>
            <w:rPr>
              <w:i/>
              <w:sz w:val="18"/>
            </w:rPr>
            <w:t>Instruments Handbook</w:t>
          </w:r>
          <w:r>
            <w:rPr>
              <w:i/>
              <w:sz w:val="18"/>
            </w:rPr>
            <w:fldChar w:fldCharType="end"/>
          </w:r>
        </w:p>
      </w:tc>
      <w:tc>
        <w:tcPr>
          <w:tcW w:w="1417" w:type="dxa"/>
          <w:tcBorders>
            <w:top w:val="nil"/>
            <w:left w:val="nil"/>
            <w:bottom w:val="nil"/>
            <w:right w:val="nil"/>
          </w:tcBorders>
        </w:tcPr>
        <w:p w14:paraId="11954B97" w14:textId="77777777" w:rsidR="00E86304" w:rsidRPr="00550D22" w:rsidRDefault="00E86304" w:rsidP="00714D90">
          <w:pPr>
            <w:spacing w:line="0" w:lineRule="atLeast"/>
            <w:jc w:val="right"/>
            <w:rPr>
              <w:sz w:val="18"/>
            </w:rPr>
          </w:pPr>
        </w:p>
      </w:tc>
    </w:tr>
    <w:tr w:rsidR="00E86304" w:rsidRPr="00550D22" w14:paraId="6CAD3DF7" w14:textId="77777777" w:rsidTr="00746A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80" w:type="dxa"/>
          <w:gridSpan w:val="3"/>
        </w:tcPr>
        <w:p w14:paraId="2FB9242A" w14:textId="77777777" w:rsidR="00E86304" w:rsidRPr="00550D22" w:rsidRDefault="00E86304" w:rsidP="00746A03">
          <w:pPr>
            <w:rPr>
              <w:sz w:val="18"/>
            </w:rPr>
          </w:pPr>
        </w:p>
      </w:tc>
    </w:tr>
  </w:tbl>
  <w:p w14:paraId="4D2F1D59" w14:textId="77777777" w:rsidR="00E86304" w:rsidRPr="00077A3C" w:rsidRDefault="00E86304" w:rsidP="00077A3C">
    <w:pPr>
      <w:pStyle w:val="Foo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91E23" w14:textId="77777777" w:rsidR="00E86304" w:rsidRPr="00E33C1C" w:rsidRDefault="00E86304" w:rsidP="00D90167">
    <w:pPr>
      <w:pBdr>
        <w:top w:val="single" w:sz="6" w:space="1" w:color="auto"/>
      </w:pBdr>
      <w:spacing w:before="240" w:line="0" w:lineRule="atLeast"/>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0"/>
      <w:gridCol w:w="6272"/>
      <w:gridCol w:w="1395"/>
    </w:tblGrid>
    <w:tr w:rsidR="00E86304" w:rsidRPr="00550D22" w14:paraId="1DA5BE5E" w14:textId="77777777" w:rsidTr="00746A03">
      <w:tc>
        <w:tcPr>
          <w:tcW w:w="1384" w:type="dxa"/>
          <w:tcBorders>
            <w:top w:val="nil"/>
            <w:left w:val="nil"/>
            <w:bottom w:val="nil"/>
            <w:right w:val="nil"/>
          </w:tcBorders>
        </w:tcPr>
        <w:p w14:paraId="307613FC" w14:textId="77777777" w:rsidR="00E86304" w:rsidRPr="00550D22" w:rsidRDefault="00E86304" w:rsidP="00746A03">
          <w:pPr>
            <w:spacing w:line="0" w:lineRule="atLeast"/>
            <w:rPr>
              <w:sz w:val="18"/>
            </w:rPr>
          </w:pPr>
        </w:p>
      </w:tc>
      <w:tc>
        <w:tcPr>
          <w:tcW w:w="6379" w:type="dxa"/>
          <w:tcBorders>
            <w:top w:val="nil"/>
            <w:left w:val="nil"/>
            <w:bottom w:val="nil"/>
            <w:right w:val="nil"/>
          </w:tcBorders>
        </w:tcPr>
        <w:p w14:paraId="3CE97A45" w14:textId="77777777" w:rsidR="00E86304" w:rsidRPr="00550D22" w:rsidRDefault="00E86304" w:rsidP="00613359">
          <w:pPr>
            <w:spacing w:line="0" w:lineRule="atLeast"/>
            <w:jc w:val="center"/>
            <w:rPr>
              <w:sz w:val="18"/>
            </w:rPr>
          </w:pPr>
          <w:r>
            <w:rPr>
              <w:i/>
              <w:sz w:val="18"/>
            </w:rPr>
            <w:fldChar w:fldCharType="begin"/>
          </w:r>
          <w:r>
            <w:rPr>
              <w:i/>
              <w:sz w:val="18"/>
            </w:rPr>
            <w:instrText xml:space="preserve"> TITLE   \* MERGEFORMAT </w:instrText>
          </w:r>
          <w:r>
            <w:rPr>
              <w:i/>
              <w:sz w:val="18"/>
            </w:rPr>
            <w:fldChar w:fldCharType="separate"/>
          </w:r>
          <w:r>
            <w:rPr>
              <w:i/>
              <w:sz w:val="18"/>
            </w:rPr>
            <w:t>Instruments Handbook</w:t>
          </w:r>
          <w:r>
            <w:rPr>
              <w:i/>
              <w:sz w:val="18"/>
            </w:rPr>
            <w:fldChar w:fldCharType="end"/>
          </w:r>
        </w:p>
      </w:tc>
      <w:tc>
        <w:tcPr>
          <w:tcW w:w="1417" w:type="dxa"/>
          <w:tcBorders>
            <w:top w:val="nil"/>
            <w:left w:val="nil"/>
            <w:bottom w:val="nil"/>
            <w:right w:val="nil"/>
          </w:tcBorders>
        </w:tcPr>
        <w:p w14:paraId="64048D18" w14:textId="77777777" w:rsidR="00E86304" w:rsidRPr="00550D22" w:rsidRDefault="00E86304" w:rsidP="00746A03">
          <w:pPr>
            <w:spacing w:line="0" w:lineRule="atLeast"/>
            <w:jc w:val="right"/>
            <w:rPr>
              <w:sz w:val="18"/>
            </w:rPr>
          </w:pPr>
          <w:r w:rsidRPr="00491DA1">
            <w:rPr>
              <w:i/>
              <w:sz w:val="18"/>
            </w:rPr>
            <w:fldChar w:fldCharType="begin"/>
          </w:r>
          <w:r w:rsidRPr="00491DA1">
            <w:rPr>
              <w:i/>
              <w:sz w:val="18"/>
            </w:rPr>
            <w:instrText xml:space="preserve"> PAGE   \* MERGEFORMAT </w:instrText>
          </w:r>
          <w:r w:rsidRPr="00491DA1">
            <w:rPr>
              <w:i/>
              <w:sz w:val="18"/>
            </w:rPr>
            <w:fldChar w:fldCharType="separate"/>
          </w:r>
          <w:r>
            <w:rPr>
              <w:i/>
              <w:noProof/>
              <w:sz w:val="18"/>
            </w:rPr>
            <w:t>58</w:t>
          </w:r>
          <w:r w:rsidRPr="00491DA1">
            <w:rPr>
              <w:i/>
              <w:noProof/>
              <w:sz w:val="18"/>
            </w:rPr>
            <w:fldChar w:fldCharType="end"/>
          </w:r>
        </w:p>
      </w:tc>
    </w:tr>
    <w:tr w:rsidR="00E86304" w:rsidRPr="00550D22" w14:paraId="564BA5B5" w14:textId="77777777" w:rsidTr="00746A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80" w:type="dxa"/>
          <w:gridSpan w:val="3"/>
        </w:tcPr>
        <w:p w14:paraId="7A84DE28" w14:textId="77777777" w:rsidR="00E86304" w:rsidRPr="00550D22" w:rsidRDefault="00E86304" w:rsidP="00746A03">
          <w:pPr>
            <w:rPr>
              <w:sz w:val="18"/>
            </w:rPr>
          </w:pPr>
        </w:p>
      </w:tc>
    </w:tr>
  </w:tbl>
  <w:p w14:paraId="2F20F04A" w14:textId="77777777" w:rsidR="00E86304" w:rsidRPr="00590636" w:rsidRDefault="00E86304" w:rsidP="00590636">
    <w:pPr>
      <w:pStyle w:val="Footer"/>
      <w:rPr>
        <w:sz w:val="4"/>
        <w:szCs w:val="4"/>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95CB4" w14:textId="77777777" w:rsidR="00E86304" w:rsidRPr="00E33C1C" w:rsidRDefault="00E86304" w:rsidP="00D90167">
    <w:pPr>
      <w:pBdr>
        <w:top w:val="single" w:sz="6" w:space="1" w:color="auto"/>
      </w:pBdr>
      <w:spacing w:before="240" w:line="0" w:lineRule="atLeast"/>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0"/>
      <w:gridCol w:w="6272"/>
      <w:gridCol w:w="1395"/>
    </w:tblGrid>
    <w:tr w:rsidR="00E86304" w:rsidRPr="00550D22" w14:paraId="4DB67A8E" w14:textId="77777777" w:rsidTr="00746A03">
      <w:tc>
        <w:tcPr>
          <w:tcW w:w="1384" w:type="dxa"/>
          <w:tcBorders>
            <w:top w:val="nil"/>
            <w:left w:val="nil"/>
            <w:bottom w:val="nil"/>
            <w:right w:val="nil"/>
          </w:tcBorders>
        </w:tcPr>
        <w:p w14:paraId="3AF613EC" w14:textId="77777777" w:rsidR="00E86304" w:rsidRPr="00550D22" w:rsidRDefault="00E86304" w:rsidP="00746A03">
          <w:pPr>
            <w:spacing w:line="0" w:lineRule="atLeast"/>
            <w:rPr>
              <w:sz w:val="18"/>
            </w:rPr>
          </w:pPr>
        </w:p>
      </w:tc>
      <w:tc>
        <w:tcPr>
          <w:tcW w:w="6379" w:type="dxa"/>
          <w:tcBorders>
            <w:top w:val="nil"/>
            <w:left w:val="nil"/>
            <w:bottom w:val="nil"/>
            <w:right w:val="nil"/>
          </w:tcBorders>
        </w:tcPr>
        <w:p w14:paraId="0D6716DC" w14:textId="77777777" w:rsidR="00E86304" w:rsidRPr="00550D22" w:rsidRDefault="00E86304" w:rsidP="00613359">
          <w:pPr>
            <w:spacing w:line="0" w:lineRule="atLeast"/>
            <w:jc w:val="center"/>
            <w:rPr>
              <w:sz w:val="18"/>
            </w:rPr>
          </w:pPr>
          <w:r>
            <w:rPr>
              <w:i/>
              <w:sz w:val="18"/>
            </w:rPr>
            <w:fldChar w:fldCharType="begin"/>
          </w:r>
          <w:r>
            <w:rPr>
              <w:i/>
              <w:sz w:val="18"/>
            </w:rPr>
            <w:instrText xml:space="preserve"> TITLE   \* MERGEFORMAT </w:instrText>
          </w:r>
          <w:r>
            <w:rPr>
              <w:i/>
              <w:sz w:val="18"/>
            </w:rPr>
            <w:fldChar w:fldCharType="separate"/>
          </w:r>
          <w:r>
            <w:rPr>
              <w:i/>
              <w:sz w:val="18"/>
            </w:rPr>
            <w:t>Instruments Handbook</w:t>
          </w:r>
          <w:r>
            <w:rPr>
              <w:i/>
              <w:sz w:val="18"/>
            </w:rPr>
            <w:fldChar w:fldCharType="end"/>
          </w:r>
        </w:p>
      </w:tc>
      <w:tc>
        <w:tcPr>
          <w:tcW w:w="1417" w:type="dxa"/>
          <w:tcBorders>
            <w:top w:val="nil"/>
            <w:left w:val="nil"/>
            <w:bottom w:val="nil"/>
            <w:right w:val="nil"/>
          </w:tcBorders>
        </w:tcPr>
        <w:p w14:paraId="46E4AC65" w14:textId="77777777" w:rsidR="00E86304" w:rsidRPr="00550D22" w:rsidRDefault="00E86304" w:rsidP="00746A03">
          <w:pPr>
            <w:spacing w:line="0" w:lineRule="atLeast"/>
            <w:jc w:val="right"/>
            <w:rPr>
              <w:sz w:val="18"/>
            </w:rPr>
          </w:pPr>
          <w:r w:rsidRPr="00491DA1">
            <w:rPr>
              <w:i/>
              <w:sz w:val="18"/>
            </w:rPr>
            <w:fldChar w:fldCharType="begin"/>
          </w:r>
          <w:r w:rsidRPr="00491DA1">
            <w:rPr>
              <w:i/>
              <w:sz w:val="18"/>
            </w:rPr>
            <w:instrText xml:space="preserve"> PAGE   \* MERGEFORMAT </w:instrText>
          </w:r>
          <w:r w:rsidRPr="00491DA1">
            <w:rPr>
              <w:i/>
              <w:sz w:val="18"/>
            </w:rPr>
            <w:fldChar w:fldCharType="separate"/>
          </w:r>
          <w:r>
            <w:rPr>
              <w:i/>
              <w:noProof/>
              <w:sz w:val="18"/>
            </w:rPr>
            <w:t>58</w:t>
          </w:r>
          <w:r w:rsidRPr="00491DA1">
            <w:rPr>
              <w:i/>
              <w:noProof/>
              <w:sz w:val="18"/>
            </w:rPr>
            <w:fldChar w:fldCharType="end"/>
          </w:r>
        </w:p>
      </w:tc>
    </w:tr>
    <w:tr w:rsidR="00E86304" w:rsidRPr="00550D22" w14:paraId="47FAC2B4" w14:textId="77777777" w:rsidTr="00746A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80" w:type="dxa"/>
          <w:gridSpan w:val="3"/>
        </w:tcPr>
        <w:p w14:paraId="6C886795" w14:textId="77777777" w:rsidR="00E86304" w:rsidRPr="00550D22" w:rsidRDefault="00E86304" w:rsidP="00746A03">
          <w:pPr>
            <w:rPr>
              <w:sz w:val="18"/>
            </w:rPr>
          </w:pPr>
        </w:p>
      </w:tc>
    </w:tr>
  </w:tbl>
  <w:p w14:paraId="7A0C4BBA" w14:textId="77777777" w:rsidR="00E86304" w:rsidRPr="00590636" w:rsidRDefault="00E86304" w:rsidP="00590636">
    <w:pPr>
      <w:pStyle w:val="Footer"/>
      <w:rPr>
        <w:sz w:val="4"/>
        <w:szCs w:val="4"/>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30E87" w14:textId="77777777" w:rsidR="00E86304" w:rsidRPr="00E33C1C" w:rsidRDefault="00E86304" w:rsidP="00D90167">
    <w:pPr>
      <w:pBdr>
        <w:top w:val="single" w:sz="6" w:space="1" w:color="auto"/>
      </w:pBdr>
      <w:spacing w:before="240" w:line="0" w:lineRule="atLeast"/>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0"/>
      <w:gridCol w:w="6272"/>
      <w:gridCol w:w="1395"/>
    </w:tblGrid>
    <w:tr w:rsidR="00E86304" w:rsidRPr="00550D22" w14:paraId="0A23136B" w14:textId="77777777" w:rsidTr="00746A03">
      <w:tc>
        <w:tcPr>
          <w:tcW w:w="1384" w:type="dxa"/>
          <w:tcBorders>
            <w:top w:val="nil"/>
            <w:left w:val="nil"/>
            <w:bottom w:val="nil"/>
            <w:right w:val="nil"/>
          </w:tcBorders>
        </w:tcPr>
        <w:p w14:paraId="5B21257C" w14:textId="77777777" w:rsidR="00E86304" w:rsidRPr="00550D22" w:rsidRDefault="00E86304" w:rsidP="00746A03">
          <w:pPr>
            <w:spacing w:line="0" w:lineRule="atLeast"/>
            <w:rPr>
              <w:sz w:val="18"/>
            </w:rPr>
          </w:pPr>
        </w:p>
      </w:tc>
      <w:tc>
        <w:tcPr>
          <w:tcW w:w="6379" w:type="dxa"/>
          <w:tcBorders>
            <w:top w:val="nil"/>
            <w:left w:val="nil"/>
            <w:bottom w:val="nil"/>
            <w:right w:val="nil"/>
          </w:tcBorders>
        </w:tcPr>
        <w:p w14:paraId="21A7FB16" w14:textId="77777777" w:rsidR="00E86304" w:rsidRPr="00550D22" w:rsidRDefault="00E86304" w:rsidP="00613359">
          <w:pPr>
            <w:spacing w:line="0" w:lineRule="atLeast"/>
            <w:jc w:val="center"/>
            <w:rPr>
              <w:sz w:val="18"/>
            </w:rPr>
          </w:pPr>
          <w:r>
            <w:rPr>
              <w:i/>
              <w:sz w:val="18"/>
            </w:rPr>
            <w:fldChar w:fldCharType="begin"/>
          </w:r>
          <w:r>
            <w:rPr>
              <w:i/>
              <w:sz w:val="18"/>
            </w:rPr>
            <w:instrText xml:space="preserve"> TITLE   \* MERGEFORMAT </w:instrText>
          </w:r>
          <w:r>
            <w:rPr>
              <w:i/>
              <w:sz w:val="18"/>
            </w:rPr>
            <w:fldChar w:fldCharType="separate"/>
          </w:r>
          <w:r>
            <w:rPr>
              <w:i/>
              <w:sz w:val="18"/>
            </w:rPr>
            <w:t>Instruments Handbook</w:t>
          </w:r>
          <w:r>
            <w:rPr>
              <w:i/>
              <w:sz w:val="18"/>
            </w:rPr>
            <w:fldChar w:fldCharType="end"/>
          </w:r>
        </w:p>
      </w:tc>
      <w:tc>
        <w:tcPr>
          <w:tcW w:w="1417" w:type="dxa"/>
          <w:tcBorders>
            <w:top w:val="nil"/>
            <w:left w:val="nil"/>
            <w:bottom w:val="nil"/>
            <w:right w:val="nil"/>
          </w:tcBorders>
        </w:tcPr>
        <w:p w14:paraId="44584A31" w14:textId="77777777" w:rsidR="00E86304" w:rsidRPr="00550D22" w:rsidRDefault="00E86304" w:rsidP="00746A03">
          <w:pPr>
            <w:spacing w:line="0" w:lineRule="atLeast"/>
            <w:jc w:val="right"/>
            <w:rPr>
              <w:sz w:val="18"/>
            </w:rPr>
          </w:pPr>
          <w:r w:rsidRPr="00491DA1">
            <w:rPr>
              <w:i/>
              <w:sz w:val="18"/>
            </w:rPr>
            <w:fldChar w:fldCharType="begin"/>
          </w:r>
          <w:r w:rsidRPr="00491DA1">
            <w:rPr>
              <w:i/>
              <w:sz w:val="18"/>
            </w:rPr>
            <w:instrText xml:space="preserve"> PAGE   \* MERGEFORMAT </w:instrText>
          </w:r>
          <w:r w:rsidRPr="00491DA1">
            <w:rPr>
              <w:i/>
              <w:sz w:val="18"/>
            </w:rPr>
            <w:fldChar w:fldCharType="separate"/>
          </w:r>
          <w:r>
            <w:rPr>
              <w:i/>
              <w:noProof/>
              <w:sz w:val="18"/>
            </w:rPr>
            <w:t>58</w:t>
          </w:r>
          <w:r w:rsidRPr="00491DA1">
            <w:rPr>
              <w:i/>
              <w:noProof/>
              <w:sz w:val="18"/>
            </w:rPr>
            <w:fldChar w:fldCharType="end"/>
          </w:r>
        </w:p>
      </w:tc>
    </w:tr>
    <w:tr w:rsidR="00E86304" w:rsidRPr="00550D22" w14:paraId="4167CEF8" w14:textId="77777777" w:rsidTr="00746A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80" w:type="dxa"/>
          <w:gridSpan w:val="3"/>
        </w:tcPr>
        <w:p w14:paraId="7EACACA2" w14:textId="77777777" w:rsidR="00E86304" w:rsidRPr="00550D22" w:rsidRDefault="00E86304" w:rsidP="00746A03">
          <w:pPr>
            <w:rPr>
              <w:sz w:val="18"/>
            </w:rPr>
          </w:pPr>
        </w:p>
      </w:tc>
    </w:tr>
  </w:tbl>
  <w:p w14:paraId="467BCD58" w14:textId="77777777" w:rsidR="00E86304" w:rsidRPr="00590636" w:rsidRDefault="00E86304" w:rsidP="00590636">
    <w:pPr>
      <w:pStyle w:val="Footer"/>
      <w:rPr>
        <w:sz w:val="4"/>
        <w:szCs w:val="4"/>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1505E" w14:textId="77777777" w:rsidR="00E86304" w:rsidRPr="00E33C1C" w:rsidRDefault="00E86304" w:rsidP="00D90167">
    <w:pPr>
      <w:pBdr>
        <w:top w:val="single" w:sz="6" w:space="1" w:color="auto"/>
      </w:pBdr>
      <w:spacing w:before="240" w:line="0" w:lineRule="atLeast"/>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0"/>
      <w:gridCol w:w="6272"/>
      <w:gridCol w:w="1395"/>
    </w:tblGrid>
    <w:tr w:rsidR="00E86304" w:rsidRPr="00550D22" w14:paraId="0D9B11E3" w14:textId="77777777" w:rsidTr="00746A03">
      <w:tc>
        <w:tcPr>
          <w:tcW w:w="1384" w:type="dxa"/>
          <w:tcBorders>
            <w:top w:val="nil"/>
            <w:left w:val="nil"/>
            <w:bottom w:val="nil"/>
            <w:right w:val="nil"/>
          </w:tcBorders>
        </w:tcPr>
        <w:p w14:paraId="6E74DBF2" w14:textId="77777777" w:rsidR="00E86304" w:rsidRPr="00550D22" w:rsidRDefault="00E86304" w:rsidP="00746A03">
          <w:pPr>
            <w:spacing w:line="0" w:lineRule="atLeast"/>
            <w:rPr>
              <w:sz w:val="18"/>
            </w:rPr>
          </w:pPr>
        </w:p>
      </w:tc>
      <w:tc>
        <w:tcPr>
          <w:tcW w:w="6379" w:type="dxa"/>
          <w:tcBorders>
            <w:top w:val="nil"/>
            <w:left w:val="nil"/>
            <w:bottom w:val="nil"/>
            <w:right w:val="nil"/>
          </w:tcBorders>
        </w:tcPr>
        <w:p w14:paraId="1426BCCA" w14:textId="77777777" w:rsidR="00E86304" w:rsidRPr="00550D22" w:rsidRDefault="00E86304" w:rsidP="00613359">
          <w:pPr>
            <w:spacing w:line="0" w:lineRule="atLeast"/>
            <w:jc w:val="center"/>
            <w:rPr>
              <w:sz w:val="18"/>
            </w:rPr>
          </w:pPr>
          <w:r>
            <w:rPr>
              <w:i/>
              <w:sz w:val="18"/>
            </w:rPr>
            <w:fldChar w:fldCharType="begin"/>
          </w:r>
          <w:r>
            <w:rPr>
              <w:i/>
              <w:sz w:val="18"/>
            </w:rPr>
            <w:instrText xml:space="preserve"> TITLE   \* MERGEFORMAT </w:instrText>
          </w:r>
          <w:r>
            <w:rPr>
              <w:i/>
              <w:sz w:val="18"/>
            </w:rPr>
            <w:fldChar w:fldCharType="separate"/>
          </w:r>
          <w:r>
            <w:rPr>
              <w:i/>
              <w:sz w:val="18"/>
            </w:rPr>
            <w:t>Instruments Handbook</w:t>
          </w:r>
          <w:r>
            <w:rPr>
              <w:i/>
              <w:sz w:val="18"/>
            </w:rPr>
            <w:fldChar w:fldCharType="end"/>
          </w:r>
        </w:p>
      </w:tc>
      <w:tc>
        <w:tcPr>
          <w:tcW w:w="1417" w:type="dxa"/>
          <w:tcBorders>
            <w:top w:val="nil"/>
            <w:left w:val="nil"/>
            <w:bottom w:val="nil"/>
            <w:right w:val="nil"/>
          </w:tcBorders>
        </w:tcPr>
        <w:p w14:paraId="2D255E30" w14:textId="77777777" w:rsidR="00E86304" w:rsidRPr="00550D22" w:rsidRDefault="00E86304" w:rsidP="00746A03">
          <w:pPr>
            <w:spacing w:line="0" w:lineRule="atLeast"/>
            <w:jc w:val="right"/>
            <w:rPr>
              <w:sz w:val="18"/>
            </w:rPr>
          </w:pPr>
          <w:r w:rsidRPr="00491DA1">
            <w:rPr>
              <w:i/>
              <w:sz w:val="18"/>
            </w:rPr>
            <w:fldChar w:fldCharType="begin"/>
          </w:r>
          <w:r w:rsidRPr="00491DA1">
            <w:rPr>
              <w:i/>
              <w:sz w:val="18"/>
            </w:rPr>
            <w:instrText xml:space="preserve"> PAGE   \* MERGEFORMAT </w:instrText>
          </w:r>
          <w:r w:rsidRPr="00491DA1">
            <w:rPr>
              <w:i/>
              <w:sz w:val="18"/>
            </w:rPr>
            <w:fldChar w:fldCharType="separate"/>
          </w:r>
          <w:r>
            <w:rPr>
              <w:i/>
              <w:noProof/>
              <w:sz w:val="18"/>
            </w:rPr>
            <w:t>58</w:t>
          </w:r>
          <w:r w:rsidRPr="00491DA1">
            <w:rPr>
              <w:i/>
              <w:noProof/>
              <w:sz w:val="18"/>
            </w:rPr>
            <w:fldChar w:fldCharType="end"/>
          </w:r>
        </w:p>
      </w:tc>
    </w:tr>
    <w:tr w:rsidR="00E86304" w:rsidRPr="00550D22" w14:paraId="41C9586F" w14:textId="77777777" w:rsidTr="00746A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80" w:type="dxa"/>
          <w:gridSpan w:val="3"/>
        </w:tcPr>
        <w:p w14:paraId="1109D8A8" w14:textId="77777777" w:rsidR="00E86304" w:rsidRPr="00550D22" w:rsidRDefault="00E86304" w:rsidP="00746A03">
          <w:pPr>
            <w:rPr>
              <w:sz w:val="18"/>
            </w:rPr>
          </w:pPr>
        </w:p>
      </w:tc>
    </w:tr>
  </w:tbl>
  <w:p w14:paraId="64526507" w14:textId="77777777" w:rsidR="00E86304" w:rsidRPr="00590636" w:rsidRDefault="00E86304" w:rsidP="00590636">
    <w:pPr>
      <w:pStyle w:val="Footer"/>
      <w:rPr>
        <w:sz w:val="4"/>
        <w:szCs w:val="4"/>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1B4EF" w14:textId="77777777" w:rsidR="00E86304" w:rsidRPr="00E33C1C" w:rsidRDefault="00E86304" w:rsidP="00D90167">
    <w:pPr>
      <w:pBdr>
        <w:top w:val="single" w:sz="6" w:space="1" w:color="auto"/>
      </w:pBdr>
      <w:spacing w:before="240" w:line="0" w:lineRule="atLeast"/>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0"/>
      <w:gridCol w:w="6272"/>
      <w:gridCol w:w="1395"/>
    </w:tblGrid>
    <w:tr w:rsidR="00E86304" w:rsidRPr="00550D22" w14:paraId="4D4E1322" w14:textId="77777777" w:rsidTr="00746A03">
      <w:tc>
        <w:tcPr>
          <w:tcW w:w="1384" w:type="dxa"/>
          <w:tcBorders>
            <w:top w:val="nil"/>
            <w:left w:val="nil"/>
            <w:bottom w:val="nil"/>
            <w:right w:val="nil"/>
          </w:tcBorders>
        </w:tcPr>
        <w:p w14:paraId="21C6D8CB" w14:textId="77777777" w:rsidR="00E86304" w:rsidRPr="00550D22" w:rsidRDefault="00E86304" w:rsidP="00746A03">
          <w:pPr>
            <w:spacing w:line="0" w:lineRule="atLeast"/>
            <w:rPr>
              <w:sz w:val="18"/>
            </w:rPr>
          </w:pPr>
        </w:p>
      </w:tc>
      <w:tc>
        <w:tcPr>
          <w:tcW w:w="6379" w:type="dxa"/>
          <w:tcBorders>
            <w:top w:val="nil"/>
            <w:left w:val="nil"/>
            <w:bottom w:val="nil"/>
            <w:right w:val="nil"/>
          </w:tcBorders>
        </w:tcPr>
        <w:p w14:paraId="64779E6A" w14:textId="77777777" w:rsidR="00E86304" w:rsidRPr="00550D22" w:rsidRDefault="00E86304" w:rsidP="00613359">
          <w:pPr>
            <w:spacing w:line="0" w:lineRule="atLeast"/>
            <w:jc w:val="center"/>
            <w:rPr>
              <w:sz w:val="18"/>
            </w:rPr>
          </w:pPr>
          <w:r>
            <w:rPr>
              <w:i/>
              <w:sz w:val="18"/>
            </w:rPr>
            <w:fldChar w:fldCharType="begin"/>
          </w:r>
          <w:r>
            <w:rPr>
              <w:i/>
              <w:sz w:val="18"/>
            </w:rPr>
            <w:instrText xml:space="preserve"> TITLE   \* MERGEFORMAT </w:instrText>
          </w:r>
          <w:r>
            <w:rPr>
              <w:i/>
              <w:sz w:val="18"/>
            </w:rPr>
            <w:fldChar w:fldCharType="separate"/>
          </w:r>
          <w:r>
            <w:rPr>
              <w:i/>
              <w:sz w:val="18"/>
            </w:rPr>
            <w:t>Instruments Handbook</w:t>
          </w:r>
          <w:r>
            <w:rPr>
              <w:i/>
              <w:sz w:val="18"/>
            </w:rPr>
            <w:fldChar w:fldCharType="end"/>
          </w:r>
        </w:p>
      </w:tc>
      <w:tc>
        <w:tcPr>
          <w:tcW w:w="1417" w:type="dxa"/>
          <w:tcBorders>
            <w:top w:val="nil"/>
            <w:left w:val="nil"/>
            <w:bottom w:val="nil"/>
            <w:right w:val="nil"/>
          </w:tcBorders>
        </w:tcPr>
        <w:p w14:paraId="5C052AF6" w14:textId="77777777" w:rsidR="00E86304" w:rsidRPr="00550D22" w:rsidRDefault="00E86304" w:rsidP="00746A03">
          <w:pPr>
            <w:spacing w:line="0" w:lineRule="atLeast"/>
            <w:jc w:val="right"/>
            <w:rPr>
              <w:sz w:val="18"/>
            </w:rPr>
          </w:pPr>
          <w:r w:rsidRPr="00491DA1">
            <w:rPr>
              <w:i/>
              <w:sz w:val="18"/>
            </w:rPr>
            <w:fldChar w:fldCharType="begin"/>
          </w:r>
          <w:r w:rsidRPr="00491DA1">
            <w:rPr>
              <w:i/>
              <w:sz w:val="18"/>
            </w:rPr>
            <w:instrText xml:space="preserve"> PAGE   \* MERGEFORMAT </w:instrText>
          </w:r>
          <w:r w:rsidRPr="00491DA1">
            <w:rPr>
              <w:i/>
              <w:sz w:val="18"/>
            </w:rPr>
            <w:fldChar w:fldCharType="separate"/>
          </w:r>
          <w:r>
            <w:rPr>
              <w:i/>
              <w:noProof/>
              <w:sz w:val="18"/>
            </w:rPr>
            <w:t>58</w:t>
          </w:r>
          <w:r w:rsidRPr="00491DA1">
            <w:rPr>
              <w:i/>
              <w:noProof/>
              <w:sz w:val="18"/>
            </w:rPr>
            <w:fldChar w:fldCharType="end"/>
          </w:r>
        </w:p>
      </w:tc>
    </w:tr>
    <w:tr w:rsidR="00E86304" w:rsidRPr="00550D22" w14:paraId="1BBF76A9" w14:textId="77777777" w:rsidTr="00746A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80" w:type="dxa"/>
          <w:gridSpan w:val="3"/>
        </w:tcPr>
        <w:p w14:paraId="4740CB2E" w14:textId="77777777" w:rsidR="00E86304" w:rsidRPr="00550D22" w:rsidRDefault="00E86304" w:rsidP="00746A03">
          <w:pPr>
            <w:rPr>
              <w:sz w:val="18"/>
            </w:rPr>
          </w:pPr>
        </w:p>
      </w:tc>
    </w:tr>
  </w:tbl>
  <w:p w14:paraId="1B37E7CC" w14:textId="77777777" w:rsidR="00E86304" w:rsidRPr="00590636" w:rsidRDefault="00E86304" w:rsidP="00590636">
    <w:pPr>
      <w:pStyle w:val="Footer"/>
      <w:rPr>
        <w:sz w:val="4"/>
        <w:szCs w:val="4"/>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1D80D" w14:textId="77777777" w:rsidR="00E86304" w:rsidRPr="00E33C1C" w:rsidRDefault="00E86304" w:rsidP="00D90167">
    <w:pPr>
      <w:pBdr>
        <w:top w:val="single" w:sz="6" w:space="1" w:color="auto"/>
      </w:pBdr>
      <w:spacing w:before="240" w:line="0" w:lineRule="atLeast"/>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0"/>
      <w:gridCol w:w="6272"/>
      <w:gridCol w:w="1395"/>
    </w:tblGrid>
    <w:tr w:rsidR="00E86304" w:rsidRPr="00550D22" w14:paraId="5B10265B" w14:textId="77777777" w:rsidTr="00746A03">
      <w:tc>
        <w:tcPr>
          <w:tcW w:w="1384" w:type="dxa"/>
          <w:tcBorders>
            <w:top w:val="nil"/>
            <w:left w:val="nil"/>
            <w:bottom w:val="nil"/>
            <w:right w:val="nil"/>
          </w:tcBorders>
        </w:tcPr>
        <w:p w14:paraId="6B0A1CB3" w14:textId="77777777" w:rsidR="00E86304" w:rsidRPr="00550D22" w:rsidRDefault="00E86304" w:rsidP="00746A03">
          <w:pPr>
            <w:spacing w:line="0" w:lineRule="atLeast"/>
            <w:rPr>
              <w:sz w:val="18"/>
            </w:rPr>
          </w:pPr>
        </w:p>
      </w:tc>
      <w:tc>
        <w:tcPr>
          <w:tcW w:w="6379" w:type="dxa"/>
          <w:tcBorders>
            <w:top w:val="nil"/>
            <w:left w:val="nil"/>
            <w:bottom w:val="nil"/>
            <w:right w:val="nil"/>
          </w:tcBorders>
        </w:tcPr>
        <w:p w14:paraId="7DFBDEC8" w14:textId="77777777" w:rsidR="00E86304" w:rsidRPr="00550D22" w:rsidRDefault="00E86304" w:rsidP="00613359">
          <w:pPr>
            <w:spacing w:line="0" w:lineRule="atLeast"/>
            <w:jc w:val="center"/>
            <w:rPr>
              <w:sz w:val="18"/>
            </w:rPr>
          </w:pPr>
          <w:r>
            <w:rPr>
              <w:i/>
              <w:sz w:val="18"/>
            </w:rPr>
            <w:fldChar w:fldCharType="begin"/>
          </w:r>
          <w:r>
            <w:rPr>
              <w:i/>
              <w:sz w:val="18"/>
            </w:rPr>
            <w:instrText xml:space="preserve"> TITLE   \* MERGEFORMAT </w:instrText>
          </w:r>
          <w:r>
            <w:rPr>
              <w:i/>
              <w:sz w:val="18"/>
            </w:rPr>
            <w:fldChar w:fldCharType="separate"/>
          </w:r>
          <w:r>
            <w:rPr>
              <w:i/>
              <w:sz w:val="18"/>
            </w:rPr>
            <w:t>Instruments Handbook</w:t>
          </w:r>
          <w:r>
            <w:rPr>
              <w:i/>
              <w:sz w:val="18"/>
            </w:rPr>
            <w:fldChar w:fldCharType="end"/>
          </w:r>
        </w:p>
      </w:tc>
      <w:tc>
        <w:tcPr>
          <w:tcW w:w="1417" w:type="dxa"/>
          <w:tcBorders>
            <w:top w:val="nil"/>
            <w:left w:val="nil"/>
            <w:bottom w:val="nil"/>
            <w:right w:val="nil"/>
          </w:tcBorders>
        </w:tcPr>
        <w:p w14:paraId="429EA441" w14:textId="77777777" w:rsidR="00E86304" w:rsidRPr="00550D22" w:rsidRDefault="00E86304" w:rsidP="00746A03">
          <w:pPr>
            <w:spacing w:line="0" w:lineRule="atLeast"/>
            <w:jc w:val="right"/>
            <w:rPr>
              <w:sz w:val="18"/>
            </w:rPr>
          </w:pPr>
          <w:r w:rsidRPr="00491DA1">
            <w:rPr>
              <w:i/>
              <w:sz w:val="18"/>
            </w:rPr>
            <w:fldChar w:fldCharType="begin"/>
          </w:r>
          <w:r w:rsidRPr="00491DA1">
            <w:rPr>
              <w:i/>
              <w:sz w:val="18"/>
            </w:rPr>
            <w:instrText xml:space="preserve"> PAGE   \* MERGEFORMAT </w:instrText>
          </w:r>
          <w:r w:rsidRPr="00491DA1">
            <w:rPr>
              <w:i/>
              <w:sz w:val="18"/>
            </w:rPr>
            <w:fldChar w:fldCharType="separate"/>
          </w:r>
          <w:r>
            <w:rPr>
              <w:i/>
              <w:noProof/>
              <w:sz w:val="18"/>
            </w:rPr>
            <w:t>58</w:t>
          </w:r>
          <w:r w:rsidRPr="00491DA1">
            <w:rPr>
              <w:i/>
              <w:noProof/>
              <w:sz w:val="18"/>
            </w:rPr>
            <w:fldChar w:fldCharType="end"/>
          </w:r>
        </w:p>
      </w:tc>
    </w:tr>
    <w:tr w:rsidR="00E86304" w:rsidRPr="00550D22" w14:paraId="2A732E63" w14:textId="77777777" w:rsidTr="00746A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80" w:type="dxa"/>
          <w:gridSpan w:val="3"/>
        </w:tcPr>
        <w:p w14:paraId="159C5B9C" w14:textId="77777777" w:rsidR="00E86304" w:rsidRPr="00550D22" w:rsidRDefault="00E86304" w:rsidP="00746A03">
          <w:pPr>
            <w:rPr>
              <w:sz w:val="18"/>
            </w:rPr>
          </w:pPr>
        </w:p>
      </w:tc>
    </w:tr>
  </w:tbl>
  <w:p w14:paraId="1FC76714" w14:textId="77777777" w:rsidR="00E86304" w:rsidRPr="00590636" w:rsidRDefault="00E86304" w:rsidP="00590636">
    <w:pPr>
      <w:pStyle w:val="Footer"/>
      <w:rPr>
        <w:sz w:val="4"/>
        <w:szCs w:val="4"/>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A1BFE" w14:textId="77777777" w:rsidR="00E86304" w:rsidRPr="00E33C1C" w:rsidRDefault="00E86304" w:rsidP="00D90167">
    <w:pPr>
      <w:pBdr>
        <w:top w:val="single" w:sz="6" w:space="1" w:color="auto"/>
      </w:pBdr>
      <w:spacing w:before="240" w:line="0" w:lineRule="atLeast"/>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0"/>
      <w:gridCol w:w="6272"/>
      <w:gridCol w:w="1395"/>
    </w:tblGrid>
    <w:tr w:rsidR="00E86304" w:rsidRPr="00550D22" w14:paraId="7B7F4BA5" w14:textId="77777777" w:rsidTr="00746A03">
      <w:tc>
        <w:tcPr>
          <w:tcW w:w="1384" w:type="dxa"/>
          <w:tcBorders>
            <w:top w:val="nil"/>
            <w:left w:val="nil"/>
            <w:bottom w:val="nil"/>
            <w:right w:val="nil"/>
          </w:tcBorders>
        </w:tcPr>
        <w:p w14:paraId="5EC094FF" w14:textId="77777777" w:rsidR="00E86304" w:rsidRPr="00550D22" w:rsidRDefault="00E86304" w:rsidP="00746A03">
          <w:pPr>
            <w:spacing w:line="0" w:lineRule="atLeast"/>
            <w:rPr>
              <w:sz w:val="18"/>
            </w:rPr>
          </w:pPr>
        </w:p>
      </w:tc>
      <w:tc>
        <w:tcPr>
          <w:tcW w:w="6379" w:type="dxa"/>
          <w:tcBorders>
            <w:top w:val="nil"/>
            <w:left w:val="nil"/>
            <w:bottom w:val="nil"/>
            <w:right w:val="nil"/>
          </w:tcBorders>
        </w:tcPr>
        <w:p w14:paraId="1D20DD8C" w14:textId="77777777" w:rsidR="00E86304" w:rsidRPr="00550D22" w:rsidRDefault="00E86304" w:rsidP="00613359">
          <w:pPr>
            <w:spacing w:line="0" w:lineRule="atLeast"/>
            <w:jc w:val="center"/>
            <w:rPr>
              <w:sz w:val="18"/>
            </w:rPr>
          </w:pPr>
          <w:r>
            <w:rPr>
              <w:i/>
              <w:sz w:val="18"/>
            </w:rPr>
            <w:fldChar w:fldCharType="begin"/>
          </w:r>
          <w:r>
            <w:rPr>
              <w:i/>
              <w:sz w:val="18"/>
            </w:rPr>
            <w:instrText xml:space="preserve"> TITLE   \* MERGEFORMAT </w:instrText>
          </w:r>
          <w:r>
            <w:rPr>
              <w:i/>
              <w:sz w:val="18"/>
            </w:rPr>
            <w:fldChar w:fldCharType="separate"/>
          </w:r>
          <w:r>
            <w:rPr>
              <w:i/>
              <w:sz w:val="18"/>
            </w:rPr>
            <w:t>Instruments Handbook</w:t>
          </w:r>
          <w:r>
            <w:rPr>
              <w:i/>
              <w:sz w:val="18"/>
            </w:rPr>
            <w:fldChar w:fldCharType="end"/>
          </w:r>
        </w:p>
      </w:tc>
      <w:tc>
        <w:tcPr>
          <w:tcW w:w="1417" w:type="dxa"/>
          <w:tcBorders>
            <w:top w:val="nil"/>
            <w:left w:val="nil"/>
            <w:bottom w:val="nil"/>
            <w:right w:val="nil"/>
          </w:tcBorders>
        </w:tcPr>
        <w:p w14:paraId="10DFF9D0" w14:textId="77777777" w:rsidR="00E86304" w:rsidRPr="00550D22" w:rsidRDefault="00E86304" w:rsidP="00746A03">
          <w:pPr>
            <w:spacing w:line="0" w:lineRule="atLeast"/>
            <w:jc w:val="right"/>
            <w:rPr>
              <w:sz w:val="18"/>
            </w:rPr>
          </w:pPr>
          <w:r w:rsidRPr="00491DA1">
            <w:rPr>
              <w:i/>
              <w:sz w:val="18"/>
            </w:rPr>
            <w:fldChar w:fldCharType="begin"/>
          </w:r>
          <w:r w:rsidRPr="00491DA1">
            <w:rPr>
              <w:i/>
              <w:sz w:val="18"/>
            </w:rPr>
            <w:instrText xml:space="preserve"> PAGE   \* MERGEFORMAT </w:instrText>
          </w:r>
          <w:r w:rsidRPr="00491DA1">
            <w:rPr>
              <w:i/>
              <w:sz w:val="18"/>
            </w:rPr>
            <w:fldChar w:fldCharType="separate"/>
          </w:r>
          <w:r>
            <w:rPr>
              <w:i/>
              <w:noProof/>
              <w:sz w:val="18"/>
            </w:rPr>
            <w:t>58</w:t>
          </w:r>
          <w:r w:rsidRPr="00491DA1">
            <w:rPr>
              <w:i/>
              <w:noProof/>
              <w:sz w:val="18"/>
            </w:rPr>
            <w:fldChar w:fldCharType="end"/>
          </w:r>
        </w:p>
      </w:tc>
    </w:tr>
    <w:tr w:rsidR="00E86304" w:rsidRPr="00550D22" w14:paraId="7480971E" w14:textId="77777777" w:rsidTr="00746A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80" w:type="dxa"/>
          <w:gridSpan w:val="3"/>
        </w:tcPr>
        <w:p w14:paraId="5D85E3CA" w14:textId="77777777" w:rsidR="00E86304" w:rsidRPr="00550D22" w:rsidRDefault="00E86304" w:rsidP="00746A03">
          <w:pPr>
            <w:rPr>
              <w:sz w:val="18"/>
            </w:rPr>
          </w:pPr>
        </w:p>
      </w:tc>
    </w:tr>
  </w:tbl>
  <w:p w14:paraId="043258D5" w14:textId="77777777" w:rsidR="00E86304" w:rsidRPr="00590636" w:rsidRDefault="00E86304" w:rsidP="00590636">
    <w:pPr>
      <w:pStyle w:val="Footer"/>
      <w:rPr>
        <w:sz w:val="4"/>
        <w:szCs w:val="4"/>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0B7F8" w14:textId="77777777" w:rsidR="00E86304" w:rsidRPr="00E33C1C" w:rsidRDefault="00E86304" w:rsidP="00D90167">
    <w:pPr>
      <w:pBdr>
        <w:top w:val="single" w:sz="6" w:space="1" w:color="auto"/>
      </w:pBdr>
      <w:spacing w:before="240" w:line="0" w:lineRule="atLeast"/>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0"/>
      <w:gridCol w:w="6272"/>
      <w:gridCol w:w="1395"/>
    </w:tblGrid>
    <w:tr w:rsidR="00E86304" w:rsidRPr="00550D22" w14:paraId="238F9D6D" w14:textId="77777777" w:rsidTr="00746A03">
      <w:tc>
        <w:tcPr>
          <w:tcW w:w="1384" w:type="dxa"/>
          <w:tcBorders>
            <w:top w:val="nil"/>
            <w:left w:val="nil"/>
            <w:bottom w:val="nil"/>
            <w:right w:val="nil"/>
          </w:tcBorders>
        </w:tcPr>
        <w:p w14:paraId="6CFE9C27" w14:textId="77777777" w:rsidR="00E86304" w:rsidRPr="00550D22" w:rsidRDefault="00E86304" w:rsidP="00746A03">
          <w:pPr>
            <w:spacing w:line="0" w:lineRule="atLeast"/>
            <w:rPr>
              <w:sz w:val="18"/>
            </w:rPr>
          </w:pPr>
        </w:p>
      </w:tc>
      <w:tc>
        <w:tcPr>
          <w:tcW w:w="6379" w:type="dxa"/>
          <w:tcBorders>
            <w:top w:val="nil"/>
            <w:left w:val="nil"/>
            <w:bottom w:val="nil"/>
            <w:right w:val="nil"/>
          </w:tcBorders>
        </w:tcPr>
        <w:p w14:paraId="7EB9760E" w14:textId="77777777" w:rsidR="00E86304" w:rsidRPr="00550D22" w:rsidRDefault="00E86304" w:rsidP="00613359">
          <w:pPr>
            <w:spacing w:line="0" w:lineRule="atLeast"/>
            <w:jc w:val="center"/>
            <w:rPr>
              <w:sz w:val="18"/>
            </w:rPr>
          </w:pPr>
          <w:r>
            <w:rPr>
              <w:i/>
              <w:sz w:val="18"/>
            </w:rPr>
            <w:fldChar w:fldCharType="begin"/>
          </w:r>
          <w:r>
            <w:rPr>
              <w:i/>
              <w:sz w:val="18"/>
            </w:rPr>
            <w:instrText xml:space="preserve"> TITLE   \* MERGEFORMAT </w:instrText>
          </w:r>
          <w:r>
            <w:rPr>
              <w:i/>
              <w:sz w:val="18"/>
            </w:rPr>
            <w:fldChar w:fldCharType="separate"/>
          </w:r>
          <w:r>
            <w:rPr>
              <w:i/>
              <w:sz w:val="18"/>
            </w:rPr>
            <w:t>Instruments Handbook</w:t>
          </w:r>
          <w:r>
            <w:rPr>
              <w:i/>
              <w:sz w:val="18"/>
            </w:rPr>
            <w:fldChar w:fldCharType="end"/>
          </w:r>
        </w:p>
      </w:tc>
      <w:tc>
        <w:tcPr>
          <w:tcW w:w="1417" w:type="dxa"/>
          <w:tcBorders>
            <w:top w:val="nil"/>
            <w:left w:val="nil"/>
            <w:bottom w:val="nil"/>
            <w:right w:val="nil"/>
          </w:tcBorders>
        </w:tcPr>
        <w:p w14:paraId="2BF2FAE3" w14:textId="77777777" w:rsidR="00E86304" w:rsidRPr="00550D22" w:rsidRDefault="00E86304" w:rsidP="00746A03">
          <w:pPr>
            <w:spacing w:line="0" w:lineRule="atLeast"/>
            <w:jc w:val="right"/>
            <w:rPr>
              <w:sz w:val="18"/>
            </w:rPr>
          </w:pPr>
          <w:r w:rsidRPr="00491DA1">
            <w:rPr>
              <w:i/>
              <w:sz w:val="18"/>
            </w:rPr>
            <w:fldChar w:fldCharType="begin"/>
          </w:r>
          <w:r w:rsidRPr="00491DA1">
            <w:rPr>
              <w:i/>
              <w:sz w:val="18"/>
            </w:rPr>
            <w:instrText xml:space="preserve"> PAGE   \* MERGEFORMAT </w:instrText>
          </w:r>
          <w:r w:rsidRPr="00491DA1">
            <w:rPr>
              <w:i/>
              <w:sz w:val="18"/>
            </w:rPr>
            <w:fldChar w:fldCharType="separate"/>
          </w:r>
          <w:r>
            <w:rPr>
              <w:i/>
              <w:noProof/>
              <w:sz w:val="18"/>
            </w:rPr>
            <w:t>58</w:t>
          </w:r>
          <w:r w:rsidRPr="00491DA1">
            <w:rPr>
              <w:i/>
              <w:noProof/>
              <w:sz w:val="18"/>
            </w:rPr>
            <w:fldChar w:fldCharType="end"/>
          </w:r>
        </w:p>
      </w:tc>
    </w:tr>
    <w:tr w:rsidR="00E86304" w:rsidRPr="00550D22" w14:paraId="59B153AB" w14:textId="77777777" w:rsidTr="00746A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80" w:type="dxa"/>
          <w:gridSpan w:val="3"/>
        </w:tcPr>
        <w:p w14:paraId="57971299" w14:textId="77777777" w:rsidR="00E86304" w:rsidRPr="00550D22" w:rsidRDefault="00E86304" w:rsidP="00746A03">
          <w:pPr>
            <w:rPr>
              <w:sz w:val="18"/>
            </w:rPr>
          </w:pPr>
        </w:p>
      </w:tc>
    </w:tr>
  </w:tbl>
  <w:p w14:paraId="02E3AA08" w14:textId="77777777" w:rsidR="00E86304" w:rsidRPr="00590636" w:rsidRDefault="00E86304" w:rsidP="00590636">
    <w:pPr>
      <w:pStyle w:val="Footer"/>
      <w:rPr>
        <w:sz w:val="4"/>
        <w:szCs w:val="4"/>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2F169" w14:textId="77777777" w:rsidR="00E86304" w:rsidRPr="00E33C1C" w:rsidRDefault="00E86304" w:rsidP="00D90167">
    <w:pPr>
      <w:pBdr>
        <w:top w:val="single" w:sz="6" w:space="1" w:color="auto"/>
      </w:pBdr>
      <w:spacing w:before="240" w:line="0" w:lineRule="atLeast"/>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0"/>
      <w:gridCol w:w="6272"/>
      <w:gridCol w:w="1395"/>
    </w:tblGrid>
    <w:tr w:rsidR="00E86304" w:rsidRPr="00550D22" w14:paraId="66939033" w14:textId="77777777" w:rsidTr="00746A03">
      <w:tc>
        <w:tcPr>
          <w:tcW w:w="1384" w:type="dxa"/>
          <w:tcBorders>
            <w:top w:val="nil"/>
            <w:left w:val="nil"/>
            <w:bottom w:val="nil"/>
            <w:right w:val="nil"/>
          </w:tcBorders>
        </w:tcPr>
        <w:p w14:paraId="2A342515" w14:textId="77777777" w:rsidR="00E86304" w:rsidRPr="00550D22" w:rsidRDefault="00E86304" w:rsidP="00746A03">
          <w:pPr>
            <w:spacing w:line="0" w:lineRule="atLeast"/>
            <w:rPr>
              <w:sz w:val="18"/>
            </w:rPr>
          </w:pPr>
        </w:p>
      </w:tc>
      <w:tc>
        <w:tcPr>
          <w:tcW w:w="6379" w:type="dxa"/>
          <w:tcBorders>
            <w:top w:val="nil"/>
            <w:left w:val="nil"/>
            <w:bottom w:val="nil"/>
            <w:right w:val="nil"/>
          </w:tcBorders>
        </w:tcPr>
        <w:p w14:paraId="2D7F6B99" w14:textId="77777777" w:rsidR="00E86304" w:rsidRPr="00550D22" w:rsidRDefault="00E86304" w:rsidP="00613359">
          <w:pPr>
            <w:spacing w:line="0" w:lineRule="atLeast"/>
            <w:jc w:val="center"/>
            <w:rPr>
              <w:sz w:val="18"/>
            </w:rPr>
          </w:pPr>
          <w:r>
            <w:rPr>
              <w:i/>
              <w:sz w:val="18"/>
            </w:rPr>
            <w:fldChar w:fldCharType="begin"/>
          </w:r>
          <w:r>
            <w:rPr>
              <w:i/>
              <w:sz w:val="18"/>
            </w:rPr>
            <w:instrText xml:space="preserve"> TITLE   \* MERGEFORMAT </w:instrText>
          </w:r>
          <w:r>
            <w:rPr>
              <w:i/>
              <w:sz w:val="18"/>
            </w:rPr>
            <w:fldChar w:fldCharType="separate"/>
          </w:r>
          <w:r>
            <w:rPr>
              <w:i/>
              <w:sz w:val="18"/>
            </w:rPr>
            <w:t>Instruments Handbook</w:t>
          </w:r>
          <w:r>
            <w:rPr>
              <w:i/>
              <w:sz w:val="18"/>
            </w:rPr>
            <w:fldChar w:fldCharType="end"/>
          </w:r>
        </w:p>
      </w:tc>
      <w:tc>
        <w:tcPr>
          <w:tcW w:w="1417" w:type="dxa"/>
          <w:tcBorders>
            <w:top w:val="nil"/>
            <w:left w:val="nil"/>
            <w:bottom w:val="nil"/>
            <w:right w:val="nil"/>
          </w:tcBorders>
        </w:tcPr>
        <w:p w14:paraId="0C4FA5AD" w14:textId="77777777" w:rsidR="00E86304" w:rsidRPr="00550D22" w:rsidRDefault="00E86304" w:rsidP="00746A03">
          <w:pPr>
            <w:spacing w:line="0" w:lineRule="atLeast"/>
            <w:jc w:val="right"/>
            <w:rPr>
              <w:sz w:val="18"/>
            </w:rPr>
          </w:pPr>
          <w:r w:rsidRPr="00491DA1">
            <w:rPr>
              <w:i/>
              <w:sz w:val="18"/>
            </w:rPr>
            <w:fldChar w:fldCharType="begin"/>
          </w:r>
          <w:r w:rsidRPr="00491DA1">
            <w:rPr>
              <w:i/>
              <w:sz w:val="18"/>
            </w:rPr>
            <w:instrText xml:space="preserve"> PAGE   \* MERGEFORMAT </w:instrText>
          </w:r>
          <w:r w:rsidRPr="00491DA1">
            <w:rPr>
              <w:i/>
              <w:sz w:val="18"/>
            </w:rPr>
            <w:fldChar w:fldCharType="separate"/>
          </w:r>
          <w:r>
            <w:rPr>
              <w:i/>
              <w:noProof/>
              <w:sz w:val="18"/>
            </w:rPr>
            <w:t>58</w:t>
          </w:r>
          <w:r w:rsidRPr="00491DA1">
            <w:rPr>
              <w:i/>
              <w:noProof/>
              <w:sz w:val="18"/>
            </w:rPr>
            <w:fldChar w:fldCharType="end"/>
          </w:r>
        </w:p>
      </w:tc>
    </w:tr>
    <w:tr w:rsidR="00E86304" w:rsidRPr="00550D22" w14:paraId="67C8B9AE" w14:textId="77777777" w:rsidTr="00746A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80" w:type="dxa"/>
          <w:gridSpan w:val="3"/>
        </w:tcPr>
        <w:p w14:paraId="460FD0C4" w14:textId="77777777" w:rsidR="00E86304" w:rsidRPr="00550D22" w:rsidRDefault="00E86304" w:rsidP="00746A03">
          <w:pPr>
            <w:rPr>
              <w:sz w:val="18"/>
            </w:rPr>
          </w:pPr>
        </w:p>
      </w:tc>
    </w:tr>
  </w:tbl>
  <w:p w14:paraId="1A88372F" w14:textId="77777777" w:rsidR="00E86304" w:rsidRPr="00590636" w:rsidRDefault="00E86304" w:rsidP="00590636">
    <w:pPr>
      <w:pStyle w:val="Footer"/>
      <w:rPr>
        <w:sz w:val="4"/>
        <w:szCs w:val="4"/>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7248D" w14:textId="77777777" w:rsidR="00E86304" w:rsidRPr="00E33C1C" w:rsidRDefault="00E86304" w:rsidP="00D90167">
    <w:pPr>
      <w:pBdr>
        <w:top w:val="single" w:sz="6" w:space="1" w:color="auto"/>
      </w:pBdr>
      <w:spacing w:before="240" w:line="0" w:lineRule="atLeast"/>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0"/>
      <w:gridCol w:w="6272"/>
      <w:gridCol w:w="1395"/>
    </w:tblGrid>
    <w:tr w:rsidR="00E86304" w:rsidRPr="00550D22" w14:paraId="5751AB3E" w14:textId="77777777" w:rsidTr="00746A03">
      <w:tc>
        <w:tcPr>
          <w:tcW w:w="1384" w:type="dxa"/>
          <w:tcBorders>
            <w:top w:val="nil"/>
            <w:left w:val="nil"/>
            <w:bottom w:val="nil"/>
            <w:right w:val="nil"/>
          </w:tcBorders>
        </w:tcPr>
        <w:p w14:paraId="03B1E747" w14:textId="77777777" w:rsidR="00E86304" w:rsidRPr="00550D22" w:rsidRDefault="00E86304" w:rsidP="00746A03">
          <w:pPr>
            <w:spacing w:line="0" w:lineRule="atLeast"/>
            <w:rPr>
              <w:sz w:val="18"/>
            </w:rPr>
          </w:pPr>
        </w:p>
      </w:tc>
      <w:tc>
        <w:tcPr>
          <w:tcW w:w="6379" w:type="dxa"/>
          <w:tcBorders>
            <w:top w:val="nil"/>
            <w:left w:val="nil"/>
            <w:bottom w:val="nil"/>
            <w:right w:val="nil"/>
          </w:tcBorders>
        </w:tcPr>
        <w:p w14:paraId="5B024F28" w14:textId="77777777" w:rsidR="00E86304" w:rsidRPr="00550D22" w:rsidRDefault="00E86304" w:rsidP="00613359">
          <w:pPr>
            <w:spacing w:line="0" w:lineRule="atLeast"/>
            <w:jc w:val="center"/>
            <w:rPr>
              <w:sz w:val="18"/>
            </w:rPr>
          </w:pPr>
          <w:r>
            <w:rPr>
              <w:i/>
              <w:sz w:val="18"/>
            </w:rPr>
            <w:fldChar w:fldCharType="begin"/>
          </w:r>
          <w:r>
            <w:rPr>
              <w:i/>
              <w:sz w:val="18"/>
            </w:rPr>
            <w:instrText xml:space="preserve"> TITLE   \* MERGEFORMAT </w:instrText>
          </w:r>
          <w:r>
            <w:rPr>
              <w:i/>
              <w:sz w:val="18"/>
            </w:rPr>
            <w:fldChar w:fldCharType="separate"/>
          </w:r>
          <w:r>
            <w:rPr>
              <w:i/>
              <w:sz w:val="18"/>
            </w:rPr>
            <w:t>Instruments Handbook</w:t>
          </w:r>
          <w:r>
            <w:rPr>
              <w:i/>
              <w:sz w:val="18"/>
            </w:rPr>
            <w:fldChar w:fldCharType="end"/>
          </w:r>
        </w:p>
      </w:tc>
      <w:tc>
        <w:tcPr>
          <w:tcW w:w="1417" w:type="dxa"/>
          <w:tcBorders>
            <w:top w:val="nil"/>
            <w:left w:val="nil"/>
            <w:bottom w:val="nil"/>
            <w:right w:val="nil"/>
          </w:tcBorders>
        </w:tcPr>
        <w:p w14:paraId="02A38C80" w14:textId="77777777" w:rsidR="00E86304" w:rsidRPr="00550D22" w:rsidRDefault="00E86304" w:rsidP="00746A03">
          <w:pPr>
            <w:spacing w:line="0" w:lineRule="atLeast"/>
            <w:jc w:val="right"/>
            <w:rPr>
              <w:sz w:val="18"/>
            </w:rPr>
          </w:pPr>
          <w:r w:rsidRPr="00491DA1">
            <w:rPr>
              <w:i/>
              <w:sz w:val="18"/>
            </w:rPr>
            <w:fldChar w:fldCharType="begin"/>
          </w:r>
          <w:r w:rsidRPr="00491DA1">
            <w:rPr>
              <w:i/>
              <w:sz w:val="18"/>
            </w:rPr>
            <w:instrText xml:space="preserve"> PAGE   \* MERGEFORMAT </w:instrText>
          </w:r>
          <w:r w:rsidRPr="00491DA1">
            <w:rPr>
              <w:i/>
              <w:sz w:val="18"/>
            </w:rPr>
            <w:fldChar w:fldCharType="separate"/>
          </w:r>
          <w:r>
            <w:rPr>
              <w:i/>
              <w:noProof/>
              <w:sz w:val="18"/>
            </w:rPr>
            <w:t>58</w:t>
          </w:r>
          <w:r w:rsidRPr="00491DA1">
            <w:rPr>
              <w:i/>
              <w:noProof/>
              <w:sz w:val="18"/>
            </w:rPr>
            <w:fldChar w:fldCharType="end"/>
          </w:r>
        </w:p>
      </w:tc>
    </w:tr>
    <w:tr w:rsidR="00E86304" w:rsidRPr="00550D22" w14:paraId="2D06F680" w14:textId="77777777" w:rsidTr="00746A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80" w:type="dxa"/>
          <w:gridSpan w:val="3"/>
        </w:tcPr>
        <w:p w14:paraId="732351D3" w14:textId="77777777" w:rsidR="00E86304" w:rsidRPr="00550D22" w:rsidRDefault="00E86304" w:rsidP="00746A03">
          <w:pPr>
            <w:rPr>
              <w:sz w:val="18"/>
            </w:rPr>
          </w:pPr>
        </w:p>
      </w:tc>
    </w:tr>
  </w:tbl>
  <w:p w14:paraId="7F2B673C" w14:textId="77777777" w:rsidR="00E86304" w:rsidRPr="00590636" w:rsidRDefault="00E86304" w:rsidP="00590636">
    <w:pPr>
      <w:pStyle w:val="Footer"/>
      <w:rPr>
        <w:sz w:val="4"/>
        <w:szCs w:val="4"/>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D1A93" w14:textId="77777777" w:rsidR="00E86304" w:rsidRPr="00E33C1C" w:rsidRDefault="00E86304" w:rsidP="00D90167">
    <w:pPr>
      <w:pBdr>
        <w:top w:val="single" w:sz="6" w:space="1" w:color="auto"/>
      </w:pBdr>
      <w:spacing w:before="240" w:line="0" w:lineRule="atLeast"/>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0"/>
      <w:gridCol w:w="6272"/>
      <w:gridCol w:w="1395"/>
    </w:tblGrid>
    <w:tr w:rsidR="00E86304" w:rsidRPr="00550D22" w14:paraId="66496A85" w14:textId="77777777" w:rsidTr="00746A03">
      <w:tc>
        <w:tcPr>
          <w:tcW w:w="1384" w:type="dxa"/>
          <w:tcBorders>
            <w:top w:val="nil"/>
            <w:left w:val="nil"/>
            <w:bottom w:val="nil"/>
            <w:right w:val="nil"/>
          </w:tcBorders>
        </w:tcPr>
        <w:p w14:paraId="08313B1E" w14:textId="77777777" w:rsidR="00E86304" w:rsidRPr="00550D22" w:rsidRDefault="00E86304" w:rsidP="00746A03">
          <w:pPr>
            <w:spacing w:line="0" w:lineRule="atLeast"/>
            <w:rPr>
              <w:sz w:val="18"/>
            </w:rPr>
          </w:pPr>
        </w:p>
      </w:tc>
      <w:tc>
        <w:tcPr>
          <w:tcW w:w="6379" w:type="dxa"/>
          <w:tcBorders>
            <w:top w:val="nil"/>
            <w:left w:val="nil"/>
            <w:bottom w:val="nil"/>
            <w:right w:val="nil"/>
          </w:tcBorders>
        </w:tcPr>
        <w:p w14:paraId="63B5ACD6" w14:textId="77777777" w:rsidR="00E86304" w:rsidRPr="00550D22" w:rsidRDefault="00E86304" w:rsidP="00613359">
          <w:pPr>
            <w:spacing w:line="0" w:lineRule="atLeast"/>
            <w:jc w:val="center"/>
            <w:rPr>
              <w:sz w:val="18"/>
            </w:rPr>
          </w:pPr>
          <w:r>
            <w:rPr>
              <w:i/>
              <w:sz w:val="18"/>
            </w:rPr>
            <w:fldChar w:fldCharType="begin"/>
          </w:r>
          <w:r>
            <w:rPr>
              <w:i/>
              <w:sz w:val="18"/>
            </w:rPr>
            <w:instrText xml:space="preserve"> TITLE   \* MERGEFORMAT </w:instrText>
          </w:r>
          <w:r>
            <w:rPr>
              <w:i/>
              <w:sz w:val="18"/>
            </w:rPr>
            <w:fldChar w:fldCharType="separate"/>
          </w:r>
          <w:r>
            <w:rPr>
              <w:i/>
              <w:sz w:val="18"/>
            </w:rPr>
            <w:t>Instruments Handbook</w:t>
          </w:r>
          <w:r>
            <w:rPr>
              <w:i/>
              <w:sz w:val="18"/>
            </w:rPr>
            <w:fldChar w:fldCharType="end"/>
          </w:r>
        </w:p>
      </w:tc>
      <w:tc>
        <w:tcPr>
          <w:tcW w:w="1417" w:type="dxa"/>
          <w:tcBorders>
            <w:top w:val="nil"/>
            <w:left w:val="nil"/>
            <w:bottom w:val="nil"/>
            <w:right w:val="nil"/>
          </w:tcBorders>
        </w:tcPr>
        <w:p w14:paraId="4BB47DC2" w14:textId="77777777" w:rsidR="00E86304" w:rsidRPr="00550D22" w:rsidRDefault="00E86304" w:rsidP="00746A03">
          <w:pPr>
            <w:spacing w:line="0" w:lineRule="atLeast"/>
            <w:jc w:val="right"/>
            <w:rPr>
              <w:sz w:val="18"/>
            </w:rPr>
          </w:pPr>
          <w:r w:rsidRPr="00491DA1">
            <w:rPr>
              <w:i/>
              <w:sz w:val="18"/>
            </w:rPr>
            <w:fldChar w:fldCharType="begin"/>
          </w:r>
          <w:r w:rsidRPr="00491DA1">
            <w:rPr>
              <w:i/>
              <w:sz w:val="18"/>
            </w:rPr>
            <w:instrText xml:space="preserve"> PAGE   \* MERGEFORMAT </w:instrText>
          </w:r>
          <w:r w:rsidRPr="00491DA1">
            <w:rPr>
              <w:i/>
              <w:sz w:val="18"/>
            </w:rPr>
            <w:fldChar w:fldCharType="separate"/>
          </w:r>
          <w:r>
            <w:rPr>
              <w:i/>
              <w:noProof/>
              <w:sz w:val="18"/>
            </w:rPr>
            <w:t>58</w:t>
          </w:r>
          <w:r w:rsidRPr="00491DA1">
            <w:rPr>
              <w:i/>
              <w:noProof/>
              <w:sz w:val="18"/>
            </w:rPr>
            <w:fldChar w:fldCharType="end"/>
          </w:r>
        </w:p>
      </w:tc>
    </w:tr>
    <w:tr w:rsidR="00E86304" w:rsidRPr="00550D22" w14:paraId="6DAB6587" w14:textId="77777777" w:rsidTr="00746A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80" w:type="dxa"/>
          <w:gridSpan w:val="3"/>
        </w:tcPr>
        <w:p w14:paraId="29885180" w14:textId="77777777" w:rsidR="00E86304" w:rsidRPr="00550D22" w:rsidRDefault="00E86304" w:rsidP="00746A03">
          <w:pPr>
            <w:rPr>
              <w:sz w:val="18"/>
            </w:rPr>
          </w:pPr>
        </w:p>
      </w:tc>
    </w:tr>
  </w:tbl>
  <w:p w14:paraId="6362D790" w14:textId="77777777" w:rsidR="00E86304" w:rsidRPr="00590636" w:rsidRDefault="00E86304" w:rsidP="00590636">
    <w:pPr>
      <w:pStyle w:val="Footer"/>
      <w:rPr>
        <w:sz w:val="4"/>
        <w:szCs w:val="4"/>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1B006" w14:textId="77777777" w:rsidR="00E86304" w:rsidRPr="00E33C1C" w:rsidRDefault="00E86304" w:rsidP="00D90167">
    <w:pPr>
      <w:pBdr>
        <w:top w:val="single" w:sz="6" w:space="1" w:color="auto"/>
      </w:pBdr>
      <w:spacing w:before="240" w:line="0" w:lineRule="atLeast"/>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0"/>
      <w:gridCol w:w="6272"/>
      <w:gridCol w:w="1395"/>
    </w:tblGrid>
    <w:tr w:rsidR="00E86304" w:rsidRPr="00550D22" w14:paraId="7C6E258A" w14:textId="77777777" w:rsidTr="00746A03">
      <w:tc>
        <w:tcPr>
          <w:tcW w:w="1384" w:type="dxa"/>
          <w:tcBorders>
            <w:top w:val="nil"/>
            <w:left w:val="nil"/>
            <w:bottom w:val="nil"/>
            <w:right w:val="nil"/>
          </w:tcBorders>
        </w:tcPr>
        <w:p w14:paraId="48EA9EEF" w14:textId="77777777" w:rsidR="00E86304" w:rsidRPr="00550D22" w:rsidRDefault="00E86304" w:rsidP="00746A03">
          <w:pPr>
            <w:spacing w:line="0" w:lineRule="atLeast"/>
            <w:rPr>
              <w:sz w:val="18"/>
            </w:rPr>
          </w:pPr>
        </w:p>
      </w:tc>
      <w:tc>
        <w:tcPr>
          <w:tcW w:w="6379" w:type="dxa"/>
          <w:tcBorders>
            <w:top w:val="nil"/>
            <w:left w:val="nil"/>
            <w:bottom w:val="nil"/>
            <w:right w:val="nil"/>
          </w:tcBorders>
        </w:tcPr>
        <w:p w14:paraId="6BE01EF9" w14:textId="77777777" w:rsidR="00E86304" w:rsidRPr="00550D22" w:rsidRDefault="00E86304" w:rsidP="00613359">
          <w:pPr>
            <w:spacing w:line="0" w:lineRule="atLeast"/>
            <w:jc w:val="center"/>
            <w:rPr>
              <w:sz w:val="18"/>
            </w:rPr>
          </w:pPr>
          <w:r>
            <w:rPr>
              <w:i/>
              <w:sz w:val="18"/>
            </w:rPr>
            <w:fldChar w:fldCharType="begin"/>
          </w:r>
          <w:r>
            <w:rPr>
              <w:i/>
              <w:sz w:val="18"/>
            </w:rPr>
            <w:instrText xml:space="preserve"> TITLE   \* MERGEFORMAT </w:instrText>
          </w:r>
          <w:r>
            <w:rPr>
              <w:i/>
              <w:sz w:val="18"/>
            </w:rPr>
            <w:fldChar w:fldCharType="separate"/>
          </w:r>
          <w:r>
            <w:rPr>
              <w:i/>
              <w:sz w:val="18"/>
            </w:rPr>
            <w:t>Instruments Handbook</w:t>
          </w:r>
          <w:r>
            <w:rPr>
              <w:i/>
              <w:sz w:val="18"/>
            </w:rPr>
            <w:fldChar w:fldCharType="end"/>
          </w:r>
        </w:p>
      </w:tc>
      <w:tc>
        <w:tcPr>
          <w:tcW w:w="1417" w:type="dxa"/>
          <w:tcBorders>
            <w:top w:val="nil"/>
            <w:left w:val="nil"/>
            <w:bottom w:val="nil"/>
            <w:right w:val="nil"/>
          </w:tcBorders>
        </w:tcPr>
        <w:p w14:paraId="101122BB" w14:textId="77777777" w:rsidR="00E86304" w:rsidRPr="00550D22" w:rsidRDefault="00E86304" w:rsidP="00746A03">
          <w:pPr>
            <w:spacing w:line="0" w:lineRule="atLeast"/>
            <w:jc w:val="right"/>
            <w:rPr>
              <w:sz w:val="18"/>
            </w:rPr>
          </w:pPr>
          <w:r w:rsidRPr="00491DA1">
            <w:rPr>
              <w:i/>
              <w:sz w:val="18"/>
            </w:rPr>
            <w:fldChar w:fldCharType="begin"/>
          </w:r>
          <w:r w:rsidRPr="00491DA1">
            <w:rPr>
              <w:i/>
              <w:sz w:val="18"/>
            </w:rPr>
            <w:instrText xml:space="preserve"> PAGE   \* MERGEFORMAT </w:instrText>
          </w:r>
          <w:r w:rsidRPr="00491DA1">
            <w:rPr>
              <w:i/>
              <w:sz w:val="18"/>
            </w:rPr>
            <w:fldChar w:fldCharType="separate"/>
          </w:r>
          <w:r>
            <w:rPr>
              <w:i/>
              <w:noProof/>
              <w:sz w:val="18"/>
            </w:rPr>
            <w:t>58</w:t>
          </w:r>
          <w:r w:rsidRPr="00491DA1">
            <w:rPr>
              <w:i/>
              <w:noProof/>
              <w:sz w:val="18"/>
            </w:rPr>
            <w:fldChar w:fldCharType="end"/>
          </w:r>
        </w:p>
      </w:tc>
    </w:tr>
    <w:tr w:rsidR="00E86304" w:rsidRPr="00550D22" w14:paraId="137D68DC" w14:textId="77777777" w:rsidTr="00746A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80" w:type="dxa"/>
          <w:gridSpan w:val="3"/>
        </w:tcPr>
        <w:p w14:paraId="28A31585" w14:textId="77777777" w:rsidR="00E86304" w:rsidRPr="00550D22" w:rsidRDefault="00E86304" w:rsidP="00746A03">
          <w:pPr>
            <w:rPr>
              <w:sz w:val="18"/>
            </w:rPr>
          </w:pPr>
        </w:p>
      </w:tc>
    </w:tr>
  </w:tbl>
  <w:p w14:paraId="4D2C75B8" w14:textId="77777777" w:rsidR="00E86304" w:rsidRPr="00590636" w:rsidRDefault="00E86304" w:rsidP="00590636">
    <w:pPr>
      <w:pStyle w:val="Footer"/>
      <w:rPr>
        <w:sz w:val="4"/>
        <w:szCs w:val="4"/>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E4892" w14:textId="77777777" w:rsidR="00E86304" w:rsidRPr="00E33C1C" w:rsidRDefault="00E86304" w:rsidP="00D90167">
    <w:pPr>
      <w:pBdr>
        <w:top w:val="single" w:sz="6" w:space="1" w:color="auto"/>
      </w:pBdr>
      <w:spacing w:before="240" w:line="0" w:lineRule="atLeast"/>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2"/>
      <w:gridCol w:w="6272"/>
      <w:gridCol w:w="1393"/>
    </w:tblGrid>
    <w:tr w:rsidR="00E86304" w:rsidRPr="00550D22" w14:paraId="766E71FE" w14:textId="77777777" w:rsidTr="00746A03">
      <w:tc>
        <w:tcPr>
          <w:tcW w:w="1384" w:type="dxa"/>
          <w:tcBorders>
            <w:top w:val="nil"/>
            <w:left w:val="nil"/>
            <w:bottom w:val="nil"/>
            <w:right w:val="nil"/>
          </w:tcBorders>
        </w:tcPr>
        <w:p w14:paraId="5D82E2E0" w14:textId="77777777" w:rsidR="00E86304" w:rsidRPr="00550D22" w:rsidRDefault="00E86304" w:rsidP="00746A03">
          <w:pPr>
            <w:spacing w:line="0" w:lineRule="atLeast"/>
            <w:rPr>
              <w:sz w:val="18"/>
            </w:rPr>
          </w:pPr>
          <w:r w:rsidRPr="00550D22">
            <w:rPr>
              <w:sz w:val="18"/>
            </w:rPr>
            <w:fldChar w:fldCharType="begin"/>
          </w:r>
          <w:r w:rsidRPr="00550D22">
            <w:rPr>
              <w:sz w:val="18"/>
            </w:rPr>
            <w:instrText xml:space="preserve"> PAGE </w:instrText>
          </w:r>
          <w:r w:rsidRPr="00550D22">
            <w:rPr>
              <w:sz w:val="18"/>
            </w:rPr>
            <w:fldChar w:fldCharType="separate"/>
          </w:r>
          <w:r>
            <w:rPr>
              <w:noProof/>
              <w:sz w:val="18"/>
            </w:rPr>
            <w:t>84</w:t>
          </w:r>
          <w:r w:rsidRPr="00550D22">
            <w:rPr>
              <w:sz w:val="18"/>
            </w:rPr>
            <w:fldChar w:fldCharType="end"/>
          </w:r>
        </w:p>
      </w:tc>
      <w:tc>
        <w:tcPr>
          <w:tcW w:w="6379" w:type="dxa"/>
          <w:tcBorders>
            <w:top w:val="nil"/>
            <w:left w:val="nil"/>
            <w:bottom w:val="nil"/>
            <w:right w:val="nil"/>
          </w:tcBorders>
        </w:tcPr>
        <w:p w14:paraId="0146A36A" w14:textId="77777777" w:rsidR="00E86304" w:rsidRPr="00550D22" w:rsidRDefault="00E86304" w:rsidP="00746A03">
          <w:pPr>
            <w:spacing w:line="0" w:lineRule="atLeast"/>
            <w:jc w:val="center"/>
            <w:rPr>
              <w:sz w:val="18"/>
            </w:rPr>
          </w:pPr>
          <w:r w:rsidRPr="00550D22">
            <w:rPr>
              <w:i/>
              <w:sz w:val="18"/>
            </w:rPr>
            <w:fldChar w:fldCharType="begin"/>
          </w:r>
          <w:r w:rsidRPr="00550D22">
            <w:rPr>
              <w:i/>
              <w:sz w:val="18"/>
            </w:rPr>
            <w:instrText xml:space="preserve"> DOCPROPERTY  Subject </w:instrText>
          </w:r>
          <w:r w:rsidRPr="00550D22">
            <w:rPr>
              <w:i/>
              <w:sz w:val="18"/>
            </w:rPr>
            <w:fldChar w:fldCharType="separate"/>
          </w:r>
          <w:r>
            <w:rPr>
              <w:i/>
              <w:sz w:val="18"/>
            </w:rPr>
            <w:t>Instruments Handbook</w:t>
          </w:r>
          <w:r w:rsidRPr="00550D22">
            <w:rPr>
              <w:i/>
              <w:sz w:val="18"/>
            </w:rPr>
            <w:fldChar w:fldCharType="end"/>
          </w:r>
        </w:p>
      </w:tc>
      <w:tc>
        <w:tcPr>
          <w:tcW w:w="1417" w:type="dxa"/>
          <w:tcBorders>
            <w:top w:val="nil"/>
            <w:left w:val="nil"/>
            <w:bottom w:val="nil"/>
            <w:right w:val="nil"/>
          </w:tcBorders>
        </w:tcPr>
        <w:p w14:paraId="0DF7CC8A" w14:textId="77777777" w:rsidR="00E86304" w:rsidRPr="00550D22" w:rsidRDefault="00E86304" w:rsidP="00746A03">
          <w:pPr>
            <w:spacing w:line="0" w:lineRule="atLeast"/>
            <w:jc w:val="right"/>
            <w:rPr>
              <w:sz w:val="18"/>
            </w:rPr>
          </w:pPr>
        </w:p>
      </w:tc>
    </w:tr>
    <w:tr w:rsidR="00E86304" w:rsidRPr="00550D22" w14:paraId="65CC7790" w14:textId="77777777" w:rsidTr="00746A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80" w:type="dxa"/>
          <w:gridSpan w:val="3"/>
        </w:tcPr>
        <w:p w14:paraId="06181AE5" w14:textId="77777777" w:rsidR="00E86304" w:rsidRPr="00550D22" w:rsidRDefault="00E86304" w:rsidP="00746A03">
          <w:pPr>
            <w:rPr>
              <w:sz w:val="18"/>
            </w:rPr>
          </w:pPr>
        </w:p>
      </w:tc>
    </w:tr>
  </w:tbl>
  <w:p w14:paraId="7013CE3D" w14:textId="77777777" w:rsidR="00E86304" w:rsidRPr="00530981" w:rsidRDefault="00E86304" w:rsidP="00D9016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5E774" w14:textId="77777777" w:rsidR="00E86304" w:rsidRPr="00E33C1C" w:rsidRDefault="00E86304" w:rsidP="00D90167">
    <w:pPr>
      <w:pBdr>
        <w:top w:val="single" w:sz="6" w:space="1" w:color="auto"/>
      </w:pBdr>
      <w:spacing w:before="240" w:line="0" w:lineRule="atLeast"/>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0"/>
      <w:gridCol w:w="6272"/>
      <w:gridCol w:w="1395"/>
    </w:tblGrid>
    <w:tr w:rsidR="00E86304" w:rsidRPr="00550D22" w14:paraId="1031B7E3" w14:textId="77777777" w:rsidTr="00746A03">
      <w:tc>
        <w:tcPr>
          <w:tcW w:w="1384" w:type="dxa"/>
          <w:tcBorders>
            <w:top w:val="nil"/>
            <w:left w:val="nil"/>
            <w:bottom w:val="nil"/>
            <w:right w:val="nil"/>
          </w:tcBorders>
        </w:tcPr>
        <w:p w14:paraId="026CF59B" w14:textId="77777777" w:rsidR="00E86304" w:rsidRPr="00550D22" w:rsidRDefault="00E86304" w:rsidP="00746A03">
          <w:pPr>
            <w:spacing w:line="0" w:lineRule="atLeast"/>
            <w:rPr>
              <w:sz w:val="18"/>
            </w:rPr>
          </w:pPr>
        </w:p>
      </w:tc>
      <w:tc>
        <w:tcPr>
          <w:tcW w:w="6379" w:type="dxa"/>
          <w:tcBorders>
            <w:top w:val="nil"/>
            <w:left w:val="nil"/>
            <w:bottom w:val="nil"/>
            <w:right w:val="nil"/>
          </w:tcBorders>
        </w:tcPr>
        <w:p w14:paraId="2916F215" w14:textId="77777777" w:rsidR="00E86304" w:rsidRPr="00550D22" w:rsidRDefault="00E86304" w:rsidP="00746A03">
          <w:pPr>
            <w:spacing w:line="0" w:lineRule="atLeast"/>
            <w:jc w:val="center"/>
            <w:rPr>
              <w:sz w:val="18"/>
            </w:rPr>
          </w:pPr>
          <w:r w:rsidRPr="00550D22">
            <w:rPr>
              <w:i/>
              <w:sz w:val="18"/>
            </w:rPr>
            <w:fldChar w:fldCharType="begin"/>
          </w:r>
          <w:r w:rsidRPr="00550D22">
            <w:rPr>
              <w:i/>
              <w:sz w:val="18"/>
            </w:rPr>
            <w:instrText xml:space="preserve"> DOCPROPERTY  Subject </w:instrText>
          </w:r>
          <w:r w:rsidRPr="00550D22">
            <w:rPr>
              <w:i/>
              <w:sz w:val="18"/>
            </w:rPr>
            <w:fldChar w:fldCharType="separate"/>
          </w:r>
          <w:r>
            <w:rPr>
              <w:i/>
              <w:sz w:val="18"/>
            </w:rPr>
            <w:t>Instruments Handbook</w:t>
          </w:r>
          <w:r w:rsidRPr="00550D22">
            <w:rPr>
              <w:i/>
              <w:sz w:val="18"/>
            </w:rPr>
            <w:fldChar w:fldCharType="end"/>
          </w:r>
        </w:p>
      </w:tc>
      <w:tc>
        <w:tcPr>
          <w:tcW w:w="1417" w:type="dxa"/>
          <w:tcBorders>
            <w:top w:val="nil"/>
            <w:left w:val="nil"/>
            <w:bottom w:val="nil"/>
            <w:right w:val="nil"/>
          </w:tcBorders>
        </w:tcPr>
        <w:p w14:paraId="7051E100" w14:textId="77777777" w:rsidR="00E86304" w:rsidRPr="00550D22" w:rsidRDefault="00E86304" w:rsidP="00746A03">
          <w:pPr>
            <w:spacing w:line="0" w:lineRule="atLeast"/>
            <w:jc w:val="right"/>
            <w:rPr>
              <w:sz w:val="18"/>
            </w:rPr>
          </w:pPr>
          <w:r w:rsidRPr="00550D22">
            <w:rPr>
              <w:sz w:val="18"/>
            </w:rPr>
            <w:fldChar w:fldCharType="begin"/>
          </w:r>
          <w:r w:rsidRPr="00550D22">
            <w:rPr>
              <w:sz w:val="18"/>
            </w:rPr>
            <w:instrText xml:space="preserve"> PAGE </w:instrText>
          </w:r>
          <w:r w:rsidRPr="00550D22">
            <w:rPr>
              <w:sz w:val="18"/>
            </w:rPr>
            <w:fldChar w:fldCharType="separate"/>
          </w:r>
          <w:r>
            <w:rPr>
              <w:noProof/>
              <w:sz w:val="18"/>
            </w:rPr>
            <w:t>85</w:t>
          </w:r>
          <w:r w:rsidRPr="00550D22">
            <w:rPr>
              <w:sz w:val="18"/>
            </w:rPr>
            <w:fldChar w:fldCharType="end"/>
          </w:r>
        </w:p>
      </w:tc>
    </w:tr>
    <w:tr w:rsidR="00E86304" w:rsidRPr="00550D22" w14:paraId="5DD62077" w14:textId="77777777" w:rsidTr="00746A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80" w:type="dxa"/>
          <w:gridSpan w:val="3"/>
        </w:tcPr>
        <w:p w14:paraId="5E682EBE" w14:textId="77777777" w:rsidR="00E86304" w:rsidRPr="00550D22" w:rsidRDefault="00E86304" w:rsidP="00746A03">
          <w:pPr>
            <w:rPr>
              <w:sz w:val="18"/>
            </w:rPr>
          </w:pPr>
        </w:p>
      </w:tc>
    </w:tr>
  </w:tbl>
  <w:p w14:paraId="7AA84F37" w14:textId="77777777" w:rsidR="00E86304" w:rsidRPr="00EA40F8" w:rsidRDefault="00E86304" w:rsidP="00D90167">
    <w:pPr>
      <w:pStyle w:val="Footer"/>
      <w:rPr>
        <w:sz w:val="18"/>
        <w:szCs w:val="18"/>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EC922" w14:textId="77777777" w:rsidR="00E86304" w:rsidRPr="00E33C1C" w:rsidRDefault="00E86304" w:rsidP="00242D1D">
    <w:pPr>
      <w:pBdr>
        <w:top w:val="single" w:sz="6" w:space="1" w:color="auto"/>
      </w:pBdr>
      <w:spacing w:before="240" w:line="0" w:lineRule="atLeast"/>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2"/>
      <w:gridCol w:w="6272"/>
      <w:gridCol w:w="1393"/>
    </w:tblGrid>
    <w:tr w:rsidR="00E86304" w:rsidRPr="00550D22" w14:paraId="70977A56" w14:textId="77777777" w:rsidTr="00F550E3">
      <w:tc>
        <w:tcPr>
          <w:tcW w:w="1384" w:type="dxa"/>
          <w:tcBorders>
            <w:top w:val="nil"/>
            <w:left w:val="nil"/>
            <w:bottom w:val="nil"/>
            <w:right w:val="nil"/>
          </w:tcBorders>
        </w:tcPr>
        <w:p w14:paraId="6646E67B" w14:textId="77777777" w:rsidR="00E86304" w:rsidRPr="00AF024F" w:rsidRDefault="00E86304" w:rsidP="00F550E3">
          <w:pPr>
            <w:spacing w:line="0" w:lineRule="atLeast"/>
            <w:rPr>
              <w:i/>
              <w:sz w:val="18"/>
            </w:rPr>
          </w:pPr>
          <w:r w:rsidRPr="00AF024F">
            <w:rPr>
              <w:i/>
              <w:sz w:val="18"/>
            </w:rPr>
            <w:fldChar w:fldCharType="begin"/>
          </w:r>
          <w:r w:rsidRPr="00AF024F">
            <w:rPr>
              <w:i/>
              <w:sz w:val="18"/>
            </w:rPr>
            <w:instrText xml:space="preserve"> PAGE </w:instrText>
          </w:r>
          <w:r w:rsidRPr="00AF024F">
            <w:rPr>
              <w:i/>
              <w:sz w:val="18"/>
            </w:rPr>
            <w:fldChar w:fldCharType="separate"/>
          </w:r>
          <w:r>
            <w:rPr>
              <w:i/>
              <w:noProof/>
              <w:sz w:val="18"/>
            </w:rPr>
            <w:t>84</w:t>
          </w:r>
          <w:r w:rsidRPr="00AF024F">
            <w:rPr>
              <w:i/>
              <w:sz w:val="18"/>
            </w:rPr>
            <w:fldChar w:fldCharType="end"/>
          </w:r>
        </w:p>
      </w:tc>
      <w:tc>
        <w:tcPr>
          <w:tcW w:w="6379" w:type="dxa"/>
          <w:tcBorders>
            <w:top w:val="nil"/>
            <w:left w:val="nil"/>
            <w:bottom w:val="nil"/>
            <w:right w:val="nil"/>
          </w:tcBorders>
        </w:tcPr>
        <w:p w14:paraId="4904E150" w14:textId="77777777" w:rsidR="00E86304" w:rsidRPr="00550D22" w:rsidRDefault="00E86304" w:rsidP="00393EB1">
          <w:pPr>
            <w:spacing w:line="0" w:lineRule="atLeast"/>
            <w:jc w:val="center"/>
            <w:rPr>
              <w:sz w:val="18"/>
            </w:rPr>
          </w:pPr>
          <w:r>
            <w:rPr>
              <w:i/>
              <w:sz w:val="18"/>
            </w:rPr>
            <w:fldChar w:fldCharType="begin"/>
          </w:r>
          <w:r>
            <w:rPr>
              <w:i/>
              <w:sz w:val="18"/>
            </w:rPr>
            <w:instrText xml:space="preserve"> TITLE   \* MERGEFORMAT </w:instrText>
          </w:r>
          <w:r>
            <w:rPr>
              <w:i/>
              <w:sz w:val="18"/>
            </w:rPr>
            <w:fldChar w:fldCharType="separate"/>
          </w:r>
          <w:r>
            <w:rPr>
              <w:i/>
              <w:sz w:val="18"/>
            </w:rPr>
            <w:t>Instruments Handbook</w:t>
          </w:r>
          <w:r>
            <w:rPr>
              <w:i/>
              <w:sz w:val="18"/>
            </w:rPr>
            <w:fldChar w:fldCharType="end"/>
          </w:r>
        </w:p>
      </w:tc>
      <w:tc>
        <w:tcPr>
          <w:tcW w:w="1417" w:type="dxa"/>
          <w:tcBorders>
            <w:top w:val="nil"/>
            <w:left w:val="nil"/>
            <w:bottom w:val="nil"/>
            <w:right w:val="nil"/>
          </w:tcBorders>
        </w:tcPr>
        <w:p w14:paraId="5B4491BA" w14:textId="77777777" w:rsidR="00E86304" w:rsidRPr="00550D22" w:rsidRDefault="00E86304" w:rsidP="00F550E3">
          <w:pPr>
            <w:spacing w:line="0" w:lineRule="atLeast"/>
            <w:jc w:val="right"/>
            <w:rPr>
              <w:sz w:val="18"/>
            </w:rPr>
          </w:pPr>
        </w:p>
      </w:tc>
    </w:tr>
    <w:tr w:rsidR="00E86304" w:rsidRPr="00550D22" w14:paraId="0DD0813C" w14:textId="77777777" w:rsidTr="00F550E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80" w:type="dxa"/>
          <w:gridSpan w:val="3"/>
        </w:tcPr>
        <w:p w14:paraId="7E3D396A" w14:textId="77777777" w:rsidR="00E86304" w:rsidRPr="00550D22" w:rsidRDefault="00E86304" w:rsidP="00F550E3">
          <w:pPr>
            <w:rPr>
              <w:sz w:val="18"/>
            </w:rPr>
          </w:pPr>
        </w:p>
      </w:tc>
    </w:tr>
  </w:tbl>
  <w:p w14:paraId="12FA99AA" w14:textId="77777777" w:rsidR="00E86304" w:rsidRDefault="00E86304" w:rsidP="00242D1D">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8CDA9" w14:textId="77777777" w:rsidR="00E86304" w:rsidRPr="00E33C1C" w:rsidRDefault="00E86304" w:rsidP="00D90167">
    <w:pPr>
      <w:pBdr>
        <w:top w:val="single" w:sz="6" w:space="1" w:color="auto"/>
      </w:pBdr>
      <w:spacing w:before="240" w:line="0" w:lineRule="atLeast"/>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0"/>
      <w:gridCol w:w="6272"/>
      <w:gridCol w:w="1395"/>
    </w:tblGrid>
    <w:tr w:rsidR="00E86304" w:rsidRPr="00550D22" w14:paraId="6F939C7C" w14:textId="77777777" w:rsidTr="00746A03">
      <w:tc>
        <w:tcPr>
          <w:tcW w:w="1384" w:type="dxa"/>
          <w:tcBorders>
            <w:top w:val="nil"/>
            <w:left w:val="nil"/>
            <w:bottom w:val="nil"/>
            <w:right w:val="nil"/>
          </w:tcBorders>
        </w:tcPr>
        <w:p w14:paraId="6096C46E" w14:textId="77777777" w:rsidR="00E86304" w:rsidRPr="00550D22" w:rsidRDefault="00E86304" w:rsidP="00746A03">
          <w:pPr>
            <w:spacing w:line="0" w:lineRule="atLeast"/>
            <w:rPr>
              <w:sz w:val="18"/>
            </w:rPr>
          </w:pPr>
        </w:p>
      </w:tc>
      <w:tc>
        <w:tcPr>
          <w:tcW w:w="6379" w:type="dxa"/>
          <w:tcBorders>
            <w:top w:val="nil"/>
            <w:left w:val="nil"/>
            <w:bottom w:val="nil"/>
            <w:right w:val="nil"/>
          </w:tcBorders>
        </w:tcPr>
        <w:p w14:paraId="12FA895A" w14:textId="77777777" w:rsidR="00E86304" w:rsidRPr="00550D22" w:rsidRDefault="00E86304" w:rsidP="00613359">
          <w:pPr>
            <w:spacing w:line="0" w:lineRule="atLeast"/>
            <w:jc w:val="center"/>
            <w:rPr>
              <w:sz w:val="18"/>
            </w:rPr>
          </w:pPr>
          <w:r>
            <w:rPr>
              <w:i/>
              <w:sz w:val="18"/>
            </w:rPr>
            <w:fldChar w:fldCharType="begin"/>
          </w:r>
          <w:r>
            <w:rPr>
              <w:i/>
              <w:sz w:val="18"/>
            </w:rPr>
            <w:instrText xml:space="preserve"> TITLE   \* MERGEFORMAT </w:instrText>
          </w:r>
          <w:r>
            <w:rPr>
              <w:i/>
              <w:sz w:val="18"/>
            </w:rPr>
            <w:fldChar w:fldCharType="separate"/>
          </w:r>
          <w:r>
            <w:rPr>
              <w:i/>
              <w:sz w:val="18"/>
            </w:rPr>
            <w:t>Instruments Handbook</w:t>
          </w:r>
          <w:r>
            <w:rPr>
              <w:i/>
              <w:sz w:val="18"/>
            </w:rPr>
            <w:fldChar w:fldCharType="end"/>
          </w:r>
        </w:p>
      </w:tc>
      <w:tc>
        <w:tcPr>
          <w:tcW w:w="1417" w:type="dxa"/>
          <w:tcBorders>
            <w:top w:val="nil"/>
            <w:left w:val="nil"/>
            <w:bottom w:val="nil"/>
            <w:right w:val="nil"/>
          </w:tcBorders>
        </w:tcPr>
        <w:p w14:paraId="30740FEC" w14:textId="77777777" w:rsidR="00E86304" w:rsidRPr="00550D22" w:rsidRDefault="00E86304" w:rsidP="00746A03">
          <w:pPr>
            <w:spacing w:line="0" w:lineRule="atLeast"/>
            <w:jc w:val="right"/>
            <w:rPr>
              <w:sz w:val="18"/>
            </w:rPr>
          </w:pPr>
          <w:r w:rsidRPr="00491DA1">
            <w:rPr>
              <w:i/>
              <w:sz w:val="18"/>
            </w:rPr>
            <w:fldChar w:fldCharType="begin"/>
          </w:r>
          <w:r w:rsidRPr="00491DA1">
            <w:rPr>
              <w:i/>
              <w:sz w:val="18"/>
            </w:rPr>
            <w:instrText xml:space="preserve"> PAGE   \* MERGEFORMAT </w:instrText>
          </w:r>
          <w:r w:rsidRPr="00491DA1">
            <w:rPr>
              <w:i/>
              <w:sz w:val="18"/>
            </w:rPr>
            <w:fldChar w:fldCharType="separate"/>
          </w:r>
          <w:r>
            <w:rPr>
              <w:i/>
              <w:noProof/>
              <w:sz w:val="18"/>
            </w:rPr>
            <w:t>58</w:t>
          </w:r>
          <w:r w:rsidRPr="00491DA1">
            <w:rPr>
              <w:i/>
              <w:noProof/>
              <w:sz w:val="18"/>
            </w:rPr>
            <w:fldChar w:fldCharType="end"/>
          </w:r>
        </w:p>
      </w:tc>
    </w:tr>
    <w:tr w:rsidR="00E86304" w:rsidRPr="00550D22" w14:paraId="1CAB3E00" w14:textId="77777777" w:rsidTr="00746A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80" w:type="dxa"/>
          <w:gridSpan w:val="3"/>
        </w:tcPr>
        <w:p w14:paraId="0CE73364" w14:textId="77777777" w:rsidR="00E86304" w:rsidRPr="00550D22" w:rsidRDefault="00E86304" w:rsidP="00746A03">
          <w:pPr>
            <w:rPr>
              <w:sz w:val="18"/>
            </w:rPr>
          </w:pPr>
        </w:p>
      </w:tc>
    </w:tr>
  </w:tbl>
  <w:p w14:paraId="70764217" w14:textId="77777777" w:rsidR="00E86304" w:rsidRPr="00590636" w:rsidRDefault="00E86304" w:rsidP="00590636">
    <w:pPr>
      <w:pStyle w:val="Footer"/>
      <w:rPr>
        <w:sz w:val="4"/>
        <w:szCs w:val="4"/>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71336" w14:textId="77777777" w:rsidR="009E1A49" w:rsidRPr="00E33C1C" w:rsidRDefault="009E1A49" w:rsidP="00D90167">
    <w:pPr>
      <w:pBdr>
        <w:top w:val="single" w:sz="6" w:space="1" w:color="auto"/>
      </w:pBdr>
      <w:spacing w:before="240" w:line="0" w:lineRule="atLeast"/>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0"/>
      <w:gridCol w:w="6272"/>
      <w:gridCol w:w="1395"/>
    </w:tblGrid>
    <w:tr w:rsidR="009E1A49" w:rsidRPr="00550D22" w14:paraId="0A784C0C" w14:textId="77777777" w:rsidTr="00746A03">
      <w:tc>
        <w:tcPr>
          <w:tcW w:w="1384" w:type="dxa"/>
          <w:tcBorders>
            <w:top w:val="nil"/>
            <w:left w:val="nil"/>
            <w:bottom w:val="nil"/>
            <w:right w:val="nil"/>
          </w:tcBorders>
        </w:tcPr>
        <w:p w14:paraId="4E98D1DD" w14:textId="77777777" w:rsidR="009E1A49" w:rsidRPr="00550D22" w:rsidRDefault="009E1A49" w:rsidP="00746A03">
          <w:pPr>
            <w:spacing w:line="0" w:lineRule="atLeast"/>
            <w:rPr>
              <w:sz w:val="18"/>
            </w:rPr>
          </w:pPr>
        </w:p>
      </w:tc>
      <w:tc>
        <w:tcPr>
          <w:tcW w:w="6379" w:type="dxa"/>
          <w:tcBorders>
            <w:top w:val="nil"/>
            <w:left w:val="nil"/>
            <w:bottom w:val="nil"/>
            <w:right w:val="nil"/>
          </w:tcBorders>
        </w:tcPr>
        <w:p w14:paraId="57B7DD8E" w14:textId="1EF670CC" w:rsidR="009E1A49" w:rsidRPr="00550D22" w:rsidRDefault="009E1A49" w:rsidP="00746A03">
          <w:pPr>
            <w:spacing w:line="0" w:lineRule="atLeast"/>
            <w:jc w:val="center"/>
            <w:rPr>
              <w:sz w:val="18"/>
            </w:rPr>
          </w:pPr>
          <w:r w:rsidRPr="00550D22">
            <w:rPr>
              <w:i/>
              <w:sz w:val="18"/>
            </w:rPr>
            <w:fldChar w:fldCharType="begin"/>
          </w:r>
          <w:r w:rsidRPr="00550D22">
            <w:rPr>
              <w:i/>
              <w:sz w:val="18"/>
            </w:rPr>
            <w:instrText xml:space="preserve"> DOCPROPERTY  Subject </w:instrText>
          </w:r>
          <w:r w:rsidRPr="00550D22">
            <w:rPr>
              <w:i/>
              <w:sz w:val="18"/>
            </w:rPr>
            <w:fldChar w:fldCharType="separate"/>
          </w:r>
          <w:r w:rsidR="00E557EE">
            <w:rPr>
              <w:i/>
              <w:sz w:val="18"/>
            </w:rPr>
            <w:t>Instruments Handbook</w:t>
          </w:r>
          <w:r w:rsidRPr="00550D22">
            <w:rPr>
              <w:i/>
              <w:sz w:val="18"/>
            </w:rPr>
            <w:fldChar w:fldCharType="end"/>
          </w:r>
        </w:p>
      </w:tc>
      <w:tc>
        <w:tcPr>
          <w:tcW w:w="1417" w:type="dxa"/>
          <w:tcBorders>
            <w:top w:val="nil"/>
            <w:left w:val="nil"/>
            <w:bottom w:val="nil"/>
            <w:right w:val="nil"/>
          </w:tcBorders>
        </w:tcPr>
        <w:p w14:paraId="43BB7B5C" w14:textId="77777777" w:rsidR="009E1A49" w:rsidRPr="00550D22" w:rsidRDefault="009E1A49" w:rsidP="00746A03">
          <w:pPr>
            <w:spacing w:line="0" w:lineRule="atLeast"/>
            <w:jc w:val="right"/>
            <w:rPr>
              <w:sz w:val="18"/>
            </w:rPr>
          </w:pPr>
          <w:r w:rsidRPr="00550D22">
            <w:rPr>
              <w:sz w:val="18"/>
            </w:rPr>
            <w:fldChar w:fldCharType="begin"/>
          </w:r>
          <w:r w:rsidRPr="00550D22">
            <w:rPr>
              <w:sz w:val="18"/>
            </w:rPr>
            <w:instrText xml:space="preserve"> PAGE </w:instrText>
          </w:r>
          <w:r w:rsidRPr="00550D22">
            <w:rPr>
              <w:sz w:val="18"/>
            </w:rPr>
            <w:fldChar w:fldCharType="separate"/>
          </w:r>
          <w:r>
            <w:rPr>
              <w:noProof/>
              <w:sz w:val="18"/>
            </w:rPr>
            <w:t>85</w:t>
          </w:r>
          <w:r w:rsidRPr="00550D22">
            <w:rPr>
              <w:sz w:val="18"/>
            </w:rPr>
            <w:fldChar w:fldCharType="end"/>
          </w:r>
        </w:p>
      </w:tc>
    </w:tr>
    <w:tr w:rsidR="009E1A49" w:rsidRPr="00550D22" w14:paraId="5131458E" w14:textId="77777777" w:rsidTr="00746A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80" w:type="dxa"/>
          <w:gridSpan w:val="3"/>
        </w:tcPr>
        <w:p w14:paraId="440A10BF" w14:textId="77777777" w:rsidR="009E1A49" w:rsidRPr="00550D22" w:rsidRDefault="009E1A49" w:rsidP="00746A03">
          <w:pPr>
            <w:rPr>
              <w:sz w:val="18"/>
            </w:rPr>
          </w:pPr>
        </w:p>
      </w:tc>
    </w:tr>
  </w:tbl>
  <w:p w14:paraId="6A462E14" w14:textId="77777777" w:rsidR="009E1A49" w:rsidRPr="00EA40F8" w:rsidRDefault="009E1A49" w:rsidP="00D90167">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19ECE1" w14:textId="77777777" w:rsidR="008D4836" w:rsidRDefault="008D4836" w:rsidP="00610D12">
      <w:pPr>
        <w:spacing w:line="240" w:lineRule="auto"/>
      </w:pPr>
      <w:r>
        <w:separator/>
      </w:r>
    </w:p>
  </w:footnote>
  <w:footnote w:type="continuationSeparator" w:id="0">
    <w:p w14:paraId="485188A9" w14:textId="77777777" w:rsidR="008D4836" w:rsidRDefault="008D4836" w:rsidP="00610D12">
      <w:pPr>
        <w:spacing w:line="240" w:lineRule="auto"/>
      </w:pPr>
      <w:r>
        <w:continuationSeparator/>
      </w:r>
    </w:p>
  </w:footnote>
  <w:footnote w:id="1">
    <w:p w14:paraId="2568E485" w14:textId="77777777" w:rsidR="00E86304" w:rsidRPr="00717460" w:rsidRDefault="00E86304" w:rsidP="00E86304">
      <w:pPr>
        <w:pStyle w:val="FootnoteText"/>
        <w:rPr>
          <w:sz w:val="18"/>
          <w:szCs w:val="18"/>
          <w:lang w:val="en-AU"/>
        </w:rPr>
      </w:pPr>
      <w:r w:rsidRPr="00717460">
        <w:rPr>
          <w:rStyle w:val="FootnoteReference"/>
          <w:sz w:val="18"/>
          <w:szCs w:val="18"/>
        </w:rPr>
        <w:footnoteRef/>
      </w:r>
      <w:r w:rsidRPr="00717460">
        <w:rPr>
          <w:sz w:val="18"/>
          <w:szCs w:val="18"/>
        </w:rPr>
        <w:t xml:space="preserve"> For guidance on which powers may be delegated, see the </w:t>
      </w:r>
      <w:r w:rsidRPr="00717460">
        <w:rPr>
          <w:i/>
          <w:sz w:val="18"/>
          <w:szCs w:val="18"/>
        </w:rPr>
        <w:t>Legislation Handbook</w:t>
      </w:r>
      <w:r w:rsidRPr="00717460">
        <w:rPr>
          <w:i/>
          <w:sz w:val="18"/>
          <w:szCs w:val="18"/>
          <w:lang w:val="en-AU"/>
        </w:rPr>
        <w:t xml:space="preserve"> </w:t>
      </w:r>
      <w:r w:rsidRPr="00717460">
        <w:rPr>
          <w:i/>
          <w:sz w:val="18"/>
          <w:szCs w:val="18"/>
          <w:lang w:val="en-AU"/>
        </w:rPr>
        <w:br/>
      </w:r>
      <w:hyperlink r:id="rId1" w:history="1">
        <w:r w:rsidRPr="00DE1224">
          <w:rPr>
            <w:rStyle w:val="Hyperlink"/>
            <w:sz w:val="18"/>
            <w:szCs w:val="18"/>
          </w:rPr>
          <w:t>https://www.pmc.gov.au/resources/legislation-handbook</w:t>
        </w:r>
      </w:hyperlink>
      <w:r w:rsidRPr="006F2958">
        <w:rPr>
          <w:rStyle w:val="Hyperlink"/>
          <w:color w:val="auto"/>
          <w:sz w:val="18"/>
          <w:szCs w:val="18"/>
        </w:rPr>
        <w:t>.</w:t>
      </w:r>
    </w:p>
  </w:footnote>
  <w:footnote w:id="2">
    <w:p w14:paraId="44138FDE" w14:textId="77777777" w:rsidR="00E86304" w:rsidRPr="00717460" w:rsidRDefault="00E86304" w:rsidP="00E86304">
      <w:pPr>
        <w:pStyle w:val="FootnoteText"/>
        <w:rPr>
          <w:sz w:val="18"/>
          <w:szCs w:val="18"/>
          <w:lang w:val="en-AU"/>
        </w:rPr>
      </w:pPr>
      <w:r w:rsidRPr="00717460">
        <w:rPr>
          <w:rStyle w:val="FootnoteReference"/>
          <w:sz w:val="18"/>
          <w:szCs w:val="18"/>
        </w:rPr>
        <w:footnoteRef/>
      </w:r>
      <w:r w:rsidRPr="00717460">
        <w:rPr>
          <w:sz w:val="18"/>
          <w:szCs w:val="18"/>
        </w:rPr>
        <w:t xml:space="preserve"> </w:t>
      </w:r>
      <w:r w:rsidRPr="00717460">
        <w:rPr>
          <w:sz w:val="18"/>
          <w:szCs w:val="18"/>
          <w:lang w:val="en-AU"/>
        </w:rPr>
        <w:t xml:space="preserve">See </w:t>
      </w:r>
      <w:hyperlink r:id="rId2" w:history="1">
        <w:r>
          <w:rPr>
            <w:rStyle w:val="Hyperlink"/>
            <w:sz w:val="18"/>
            <w:szCs w:val="18"/>
            <w:lang w:val="en-AU"/>
          </w:rPr>
          <w:t>https://catalogue.nla.gov.au/catalog/1846835</w:t>
        </w:r>
      </w:hyperlink>
      <w:r>
        <w:rPr>
          <w:rStyle w:val="Hyperlink"/>
          <w:sz w:val="18"/>
          <w:szCs w:val="18"/>
        </w:rPr>
        <w:t>.</w:t>
      </w:r>
    </w:p>
  </w:footnote>
  <w:footnote w:id="3">
    <w:p w14:paraId="3D83116A" w14:textId="77777777" w:rsidR="00E86304" w:rsidRPr="00717460" w:rsidRDefault="00E86304" w:rsidP="00E86304">
      <w:pPr>
        <w:pStyle w:val="FootnoteText"/>
        <w:rPr>
          <w:sz w:val="18"/>
          <w:szCs w:val="18"/>
          <w:lang w:val="en-AU"/>
        </w:rPr>
      </w:pPr>
      <w:r w:rsidRPr="00717460">
        <w:rPr>
          <w:rStyle w:val="FootnoteReference"/>
          <w:sz w:val="18"/>
          <w:szCs w:val="18"/>
        </w:rPr>
        <w:footnoteRef/>
      </w:r>
      <w:r w:rsidRPr="00717460">
        <w:rPr>
          <w:sz w:val="18"/>
          <w:szCs w:val="18"/>
        </w:rPr>
        <w:t xml:space="preserve"> For more information about the review process and recommendations, see</w:t>
      </w:r>
      <w:r w:rsidRPr="00717460">
        <w:rPr>
          <w:sz w:val="18"/>
          <w:szCs w:val="18"/>
          <w:lang w:val="en-AU"/>
        </w:rPr>
        <w:t xml:space="preserve"> </w:t>
      </w:r>
      <w:r>
        <w:rPr>
          <w:sz w:val="18"/>
          <w:szCs w:val="18"/>
          <w:lang w:val="en-AU"/>
        </w:rPr>
        <w:t xml:space="preserve">the 2008 Review of the Legislative Instruments Act 2003 at </w:t>
      </w:r>
      <w:hyperlink r:id="rId3" w:history="1">
        <w:r w:rsidRPr="00DE1224">
          <w:rPr>
            <w:rStyle w:val="Hyperlink"/>
            <w:sz w:val="18"/>
            <w:szCs w:val="18"/>
          </w:rPr>
          <w:t>https://www.ag.gov.au/legal-system/administrative-law/legislation-act-2003</w:t>
        </w:r>
      </w:hyperlink>
      <w:r w:rsidRPr="006F2958">
        <w:rPr>
          <w:rStyle w:val="Hyperlink"/>
          <w:color w:val="auto"/>
          <w:sz w:val="18"/>
          <w:szCs w:val="18"/>
        </w:rPr>
        <w:t>.</w:t>
      </w:r>
    </w:p>
  </w:footnote>
  <w:footnote w:id="4">
    <w:p w14:paraId="683FDA36" w14:textId="77777777" w:rsidR="00E86304" w:rsidRPr="00717460" w:rsidRDefault="00E86304" w:rsidP="00E86304">
      <w:pPr>
        <w:pStyle w:val="FootnoteText"/>
        <w:rPr>
          <w:sz w:val="18"/>
          <w:szCs w:val="18"/>
          <w:lang w:val="en-AU"/>
        </w:rPr>
      </w:pPr>
      <w:r w:rsidRPr="00717460">
        <w:rPr>
          <w:rStyle w:val="FootnoteReference"/>
          <w:sz w:val="18"/>
          <w:szCs w:val="18"/>
        </w:rPr>
        <w:footnoteRef/>
      </w:r>
      <w:r w:rsidRPr="00717460">
        <w:rPr>
          <w:sz w:val="18"/>
          <w:szCs w:val="18"/>
        </w:rPr>
        <w:t xml:space="preserve"> </w:t>
      </w:r>
      <w:r w:rsidRPr="00717460">
        <w:rPr>
          <w:sz w:val="18"/>
          <w:szCs w:val="18"/>
          <w:lang w:val="en-AU"/>
        </w:rPr>
        <w:t xml:space="preserve">See </w:t>
      </w:r>
      <w:hyperlink r:id="rId4" w:history="1">
        <w:r w:rsidRPr="00717460">
          <w:rPr>
            <w:rStyle w:val="Hyperlink"/>
            <w:sz w:val="18"/>
            <w:szCs w:val="18"/>
          </w:rPr>
          <w:t>https://www.ag.gov.au/legal-system/publications/report-operation-sunsetting-provisions-legislation-act-2003</w:t>
        </w:r>
      </w:hyperlink>
      <w:r w:rsidRPr="006F2958">
        <w:rPr>
          <w:rStyle w:val="Hyperlink"/>
          <w:color w:val="auto"/>
          <w:sz w:val="18"/>
          <w:szCs w:val="18"/>
        </w:rPr>
        <w:t>.</w:t>
      </w:r>
    </w:p>
  </w:footnote>
  <w:footnote w:id="5">
    <w:p w14:paraId="74A32720" w14:textId="77777777" w:rsidR="00E86304" w:rsidRPr="00717460" w:rsidRDefault="00E86304" w:rsidP="00E86304">
      <w:pPr>
        <w:pStyle w:val="FootnoteText"/>
        <w:rPr>
          <w:sz w:val="18"/>
          <w:szCs w:val="18"/>
          <w:lang w:val="en-AU"/>
        </w:rPr>
      </w:pPr>
      <w:r w:rsidRPr="00717460">
        <w:rPr>
          <w:rStyle w:val="FootnoteReference"/>
          <w:sz w:val="18"/>
          <w:szCs w:val="18"/>
        </w:rPr>
        <w:footnoteRef/>
      </w:r>
      <w:r w:rsidRPr="00717460">
        <w:rPr>
          <w:sz w:val="18"/>
          <w:szCs w:val="18"/>
        </w:rPr>
        <w:t xml:space="preserve"> </w:t>
      </w:r>
      <w:r w:rsidRPr="00717460">
        <w:rPr>
          <w:sz w:val="18"/>
          <w:szCs w:val="18"/>
          <w:lang w:val="en-AU"/>
        </w:rPr>
        <w:t xml:space="preserve">See </w:t>
      </w:r>
      <w:hyperlink r:id="rId5" w:history="1">
        <w:r w:rsidRPr="00717460">
          <w:rPr>
            <w:rStyle w:val="Hyperlink"/>
            <w:sz w:val="18"/>
            <w:szCs w:val="18"/>
            <w:lang w:val="en-AU"/>
          </w:rPr>
          <w:t>OPC’s Instrument Fact Sheet Series: What is a legislative instrument?</w:t>
        </w:r>
      </w:hyperlink>
      <w:r w:rsidRPr="00717460">
        <w:rPr>
          <w:sz w:val="18"/>
          <w:szCs w:val="18"/>
          <w:lang w:val="en-AU"/>
        </w:rPr>
        <w:t xml:space="preserve"> for additional guidance.</w:t>
      </w:r>
    </w:p>
  </w:footnote>
  <w:footnote w:id="6">
    <w:p w14:paraId="3220EAD7" w14:textId="77777777" w:rsidR="00E86304" w:rsidRPr="00717460" w:rsidRDefault="00E86304" w:rsidP="00E86304">
      <w:pPr>
        <w:pStyle w:val="FootnoteText"/>
        <w:rPr>
          <w:sz w:val="18"/>
          <w:szCs w:val="18"/>
          <w:lang w:val="en-AU"/>
        </w:rPr>
      </w:pPr>
      <w:r w:rsidRPr="00717460">
        <w:rPr>
          <w:rStyle w:val="FootnoteReference"/>
          <w:sz w:val="18"/>
          <w:szCs w:val="18"/>
        </w:rPr>
        <w:footnoteRef/>
      </w:r>
      <w:r w:rsidRPr="00717460">
        <w:rPr>
          <w:sz w:val="18"/>
          <w:szCs w:val="18"/>
        </w:rPr>
        <w:t xml:space="preserve"> </w:t>
      </w:r>
      <w:r w:rsidRPr="00717460">
        <w:rPr>
          <w:sz w:val="18"/>
          <w:szCs w:val="18"/>
          <w:lang w:val="en-AU"/>
        </w:rPr>
        <w:t xml:space="preserve">See </w:t>
      </w:r>
      <w:hyperlink r:id="rId6" w:history="1">
        <w:r w:rsidRPr="00DE1224">
          <w:rPr>
            <w:rStyle w:val="Hyperlink"/>
            <w:sz w:val="18"/>
            <w:szCs w:val="18"/>
          </w:rPr>
          <w:t>https://www.aph.gov.au/Parliamentary_Business/Bills_Legislation</w:t>
        </w:r>
      </w:hyperlink>
      <w:r w:rsidRPr="006F2958">
        <w:rPr>
          <w:rStyle w:val="Hyperlink"/>
          <w:color w:val="auto"/>
          <w:sz w:val="18"/>
          <w:szCs w:val="18"/>
        </w:rPr>
        <w:t>.</w:t>
      </w:r>
    </w:p>
  </w:footnote>
  <w:footnote w:id="7">
    <w:p w14:paraId="33DE0975" w14:textId="77777777" w:rsidR="00E86304" w:rsidRPr="00717460" w:rsidRDefault="00E86304" w:rsidP="00E86304">
      <w:pPr>
        <w:pStyle w:val="FootnoteText"/>
        <w:rPr>
          <w:sz w:val="18"/>
          <w:szCs w:val="18"/>
          <w:lang w:val="en-AU"/>
        </w:rPr>
      </w:pPr>
      <w:r w:rsidRPr="00717460">
        <w:rPr>
          <w:rStyle w:val="FootnoteReference"/>
          <w:sz w:val="18"/>
          <w:szCs w:val="18"/>
        </w:rPr>
        <w:footnoteRef/>
      </w:r>
      <w:r w:rsidRPr="00717460">
        <w:rPr>
          <w:sz w:val="18"/>
          <w:szCs w:val="18"/>
        </w:rPr>
        <w:t xml:space="preserve"> </w:t>
      </w:r>
      <w:r w:rsidRPr="00717460">
        <w:rPr>
          <w:sz w:val="18"/>
          <w:szCs w:val="18"/>
          <w:lang w:val="en-AU"/>
        </w:rPr>
        <w:t xml:space="preserve">See </w:t>
      </w:r>
      <w:hyperlink r:id="rId7" w:history="1">
        <w:r w:rsidRPr="00DE1224">
          <w:rPr>
            <w:rStyle w:val="Hyperlink"/>
            <w:sz w:val="18"/>
            <w:szCs w:val="18"/>
          </w:rPr>
          <w:t>https://parlinfo.aph.gov.au/</w:t>
        </w:r>
      </w:hyperlink>
      <w:r w:rsidRPr="006F2958">
        <w:rPr>
          <w:rStyle w:val="Hyperlink"/>
          <w:color w:val="auto"/>
          <w:sz w:val="18"/>
          <w:szCs w:val="18"/>
        </w:rPr>
        <w:t>.</w:t>
      </w:r>
    </w:p>
  </w:footnote>
  <w:footnote w:id="8">
    <w:p w14:paraId="681D8EB0" w14:textId="77777777" w:rsidR="00E86304" w:rsidRPr="00717460" w:rsidRDefault="00E86304" w:rsidP="00E86304">
      <w:pPr>
        <w:pStyle w:val="FootnoteText"/>
        <w:rPr>
          <w:sz w:val="18"/>
          <w:szCs w:val="18"/>
          <w:lang w:val="en-AU"/>
        </w:rPr>
      </w:pPr>
      <w:r w:rsidRPr="00717460">
        <w:rPr>
          <w:rStyle w:val="FootnoteReference"/>
          <w:sz w:val="18"/>
          <w:szCs w:val="18"/>
        </w:rPr>
        <w:footnoteRef/>
      </w:r>
      <w:r w:rsidRPr="00717460">
        <w:rPr>
          <w:sz w:val="18"/>
          <w:szCs w:val="18"/>
        </w:rPr>
        <w:t xml:space="preserve"> </w:t>
      </w:r>
      <w:r w:rsidRPr="00717460">
        <w:rPr>
          <w:sz w:val="18"/>
          <w:szCs w:val="18"/>
          <w:lang w:val="en-AU"/>
        </w:rPr>
        <w:t xml:space="preserve">See </w:t>
      </w:r>
      <w:hyperlink r:id="rId8" w:history="1">
        <w:r w:rsidRPr="00DE1224">
          <w:rPr>
            <w:rStyle w:val="Hyperlink"/>
            <w:sz w:val="18"/>
            <w:szCs w:val="18"/>
          </w:rPr>
          <w:t>https://www.pmc.gov.au/resources/legislation-handbook</w:t>
        </w:r>
      </w:hyperlink>
      <w:r w:rsidRPr="006F2958">
        <w:rPr>
          <w:rStyle w:val="Hyperlink"/>
          <w:color w:val="auto"/>
          <w:sz w:val="18"/>
          <w:szCs w:val="18"/>
        </w:rPr>
        <w:t>.</w:t>
      </w:r>
    </w:p>
  </w:footnote>
  <w:footnote w:id="9">
    <w:p w14:paraId="50F7F730" w14:textId="77777777" w:rsidR="00E86304" w:rsidRPr="00717460" w:rsidRDefault="00E86304" w:rsidP="00E86304">
      <w:pPr>
        <w:rPr>
          <w:rFonts w:cs="Times New Roman"/>
          <w:sz w:val="18"/>
          <w:szCs w:val="18"/>
        </w:rPr>
      </w:pPr>
      <w:r w:rsidRPr="00717460">
        <w:rPr>
          <w:rStyle w:val="FootnoteReference"/>
          <w:sz w:val="18"/>
          <w:szCs w:val="18"/>
        </w:rPr>
        <w:footnoteRef/>
      </w:r>
      <w:r w:rsidRPr="00717460">
        <w:rPr>
          <w:sz w:val="18"/>
          <w:szCs w:val="18"/>
        </w:rPr>
        <w:t xml:space="preserve"> This is an example only and may not be appropriate in all situ</w:t>
      </w:r>
      <w:r w:rsidRPr="00717460">
        <w:rPr>
          <w:rFonts w:cs="Times New Roman"/>
          <w:sz w:val="18"/>
          <w:szCs w:val="18"/>
        </w:rPr>
        <w:t xml:space="preserve">ations. See </w:t>
      </w:r>
      <w:hyperlink r:id="rId9" w:history="1">
        <w:r w:rsidRPr="00717460">
          <w:rPr>
            <w:rStyle w:val="Hyperlink"/>
            <w:rFonts w:cs="Times New Roman"/>
            <w:sz w:val="18"/>
            <w:szCs w:val="18"/>
          </w:rPr>
          <w:t>OPC’s Instrument Fact Sheet Series: Essentials of a legislative instrument</w:t>
        </w:r>
      </w:hyperlink>
      <w:r w:rsidRPr="00717460">
        <w:rPr>
          <w:rFonts w:cs="Times New Roman"/>
          <w:sz w:val="18"/>
          <w:szCs w:val="18"/>
        </w:rPr>
        <w:t xml:space="preserve"> for additional guidance.</w:t>
      </w:r>
    </w:p>
  </w:footnote>
  <w:footnote w:id="10">
    <w:p w14:paraId="53D2D2F0" w14:textId="77777777" w:rsidR="00E86304" w:rsidRPr="00717460" w:rsidRDefault="00E86304" w:rsidP="00E86304">
      <w:pPr>
        <w:pStyle w:val="FootnoteText"/>
        <w:rPr>
          <w:sz w:val="18"/>
          <w:szCs w:val="18"/>
          <w:lang w:val="en-AU"/>
        </w:rPr>
      </w:pPr>
      <w:r w:rsidRPr="00717460">
        <w:rPr>
          <w:rStyle w:val="FootnoteReference"/>
          <w:sz w:val="18"/>
          <w:szCs w:val="18"/>
        </w:rPr>
        <w:footnoteRef/>
      </w:r>
      <w:r w:rsidRPr="00717460">
        <w:rPr>
          <w:sz w:val="18"/>
          <w:szCs w:val="18"/>
        </w:rPr>
        <w:t xml:space="preserve"> </w:t>
      </w:r>
      <w:r w:rsidRPr="00717460">
        <w:rPr>
          <w:spacing w:val="-2"/>
          <w:sz w:val="18"/>
          <w:szCs w:val="18"/>
          <w:lang w:val="en-AU"/>
        </w:rPr>
        <w:t xml:space="preserve">See </w:t>
      </w:r>
      <w:hyperlink r:id="rId10" w:history="1">
        <w:r w:rsidRPr="00DE1224">
          <w:rPr>
            <w:rStyle w:val="Hyperlink"/>
            <w:sz w:val="18"/>
            <w:szCs w:val="18"/>
          </w:rPr>
          <w:t>https://www.pmc.gov.au/resources/federal-executive-council-handbook-2021</w:t>
        </w:r>
      </w:hyperlink>
      <w:r w:rsidRPr="006F2958">
        <w:rPr>
          <w:rStyle w:val="Hyperlink"/>
          <w:color w:val="auto"/>
          <w:sz w:val="18"/>
          <w:szCs w:val="18"/>
        </w:rPr>
        <w:t>.</w:t>
      </w:r>
    </w:p>
  </w:footnote>
  <w:footnote w:id="11">
    <w:p w14:paraId="59F32D9C" w14:textId="77777777" w:rsidR="00E86304" w:rsidRPr="00717460" w:rsidRDefault="00E86304" w:rsidP="00E86304">
      <w:pPr>
        <w:pStyle w:val="FootnoteText"/>
        <w:rPr>
          <w:sz w:val="18"/>
          <w:szCs w:val="18"/>
          <w:lang w:val="en-AU"/>
        </w:rPr>
      </w:pPr>
      <w:r w:rsidRPr="00717460">
        <w:rPr>
          <w:rStyle w:val="FootnoteReference"/>
          <w:sz w:val="18"/>
          <w:szCs w:val="18"/>
        </w:rPr>
        <w:footnoteRef/>
      </w:r>
      <w:r w:rsidRPr="00717460">
        <w:rPr>
          <w:sz w:val="18"/>
          <w:szCs w:val="18"/>
        </w:rPr>
        <w:t xml:space="preserve"> </w:t>
      </w:r>
      <w:r w:rsidRPr="00717460">
        <w:rPr>
          <w:sz w:val="18"/>
          <w:szCs w:val="18"/>
          <w:lang w:val="en-AU"/>
        </w:rPr>
        <w:t xml:space="preserve">See </w:t>
      </w:r>
      <w:hyperlink r:id="rId11" w:history="1">
        <w:r w:rsidRPr="00717460">
          <w:rPr>
            <w:rStyle w:val="Hyperlink"/>
            <w:sz w:val="18"/>
            <w:szCs w:val="18"/>
            <w:lang w:val="en-AU"/>
          </w:rPr>
          <w:t>OPC’s Instrument Fact Sheet Series: Drafting amending instruments</w:t>
        </w:r>
      </w:hyperlink>
      <w:r w:rsidRPr="00717460">
        <w:rPr>
          <w:sz w:val="18"/>
          <w:szCs w:val="18"/>
          <w:lang w:val="en-AU"/>
        </w:rPr>
        <w:t xml:space="preserve"> for additional guidance.</w:t>
      </w:r>
    </w:p>
  </w:footnote>
  <w:footnote w:id="12">
    <w:p w14:paraId="61298D24" w14:textId="77777777" w:rsidR="00E86304" w:rsidRPr="00717460" w:rsidRDefault="00E86304" w:rsidP="00E86304">
      <w:pPr>
        <w:pStyle w:val="FootnoteText"/>
        <w:rPr>
          <w:sz w:val="18"/>
          <w:szCs w:val="18"/>
          <w:lang w:val="en-AU"/>
        </w:rPr>
      </w:pPr>
      <w:r w:rsidRPr="00717460">
        <w:rPr>
          <w:rStyle w:val="FootnoteReference"/>
          <w:sz w:val="18"/>
          <w:szCs w:val="18"/>
        </w:rPr>
        <w:footnoteRef/>
      </w:r>
      <w:r w:rsidRPr="00717460">
        <w:rPr>
          <w:sz w:val="18"/>
          <w:szCs w:val="18"/>
        </w:rPr>
        <w:t xml:space="preserve"> </w:t>
      </w:r>
      <w:r w:rsidRPr="00717460">
        <w:rPr>
          <w:sz w:val="18"/>
          <w:szCs w:val="18"/>
          <w:lang w:val="en-AU"/>
        </w:rPr>
        <w:t xml:space="preserve">See </w:t>
      </w:r>
      <w:hyperlink r:id="rId12" w:history="1">
        <w:r w:rsidRPr="00DE1224">
          <w:rPr>
            <w:rStyle w:val="Hyperlink"/>
            <w:i/>
            <w:sz w:val="18"/>
            <w:szCs w:val="18"/>
            <w:lang w:val="en-AU"/>
          </w:rPr>
          <w:t>2008 Review of the Legislative Instruments Act 2003</w:t>
        </w:r>
      </w:hyperlink>
      <w:r w:rsidRPr="00717460">
        <w:rPr>
          <w:sz w:val="18"/>
          <w:szCs w:val="18"/>
          <w:lang w:val="en-AU"/>
        </w:rPr>
        <w:t>, chapter 4.4</w:t>
      </w:r>
      <w:r w:rsidRPr="006F2958">
        <w:rPr>
          <w:rStyle w:val="Hyperlink"/>
          <w:color w:val="auto"/>
          <w:sz w:val="18"/>
          <w:szCs w:val="18"/>
        </w:rPr>
        <w:t>.</w:t>
      </w:r>
    </w:p>
  </w:footnote>
  <w:footnote w:id="13">
    <w:p w14:paraId="12188542" w14:textId="77777777" w:rsidR="00E86304" w:rsidRPr="00707E89" w:rsidRDefault="00E86304" w:rsidP="00E86304">
      <w:pPr>
        <w:pStyle w:val="FootnoteText"/>
        <w:rPr>
          <w:sz w:val="18"/>
          <w:szCs w:val="18"/>
          <w:lang w:val="en-AU"/>
        </w:rPr>
      </w:pPr>
      <w:r w:rsidRPr="00717460">
        <w:rPr>
          <w:rStyle w:val="FootnoteReference"/>
          <w:sz w:val="18"/>
          <w:szCs w:val="18"/>
        </w:rPr>
        <w:footnoteRef/>
      </w:r>
      <w:r w:rsidRPr="00717460">
        <w:rPr>
          <w:sz w:val="18"/>
          <w:szCs w:val="18"/>
        </w:rPr>
        <w:t xml:space="preserve"> </w:t>
      </w:r>
      <w:r w:rsidRPr="00717460">
        <w:rPr>
          <w:sz w:val="18"/>
          <w:szCs w:val="18"/>
          <w:lang w:val="en-AU"/>
        </w:rPr>
        <w:t xml:space="preserve">See </w:t>
      </w:r>
      <w:hyperlink r:id="rId13" w:history="1">
        <w:r w:rsidRPr="00717460">
          <w:rPr>
            <w:rStyle w:val="Hyperlink"/>
            <w:sz w:val="18"/>
            <w:szCs w:val="18"/>
          </w:rPr>
          <w:t>https://www.dta.gov.au/help-and-advice/guides-and-tools/commonwealth-library-deposit-and-free-issue-schemes</w:t>
        </w:r>
      </w:hyperlink>
      <w:r w:rsidRPr="006F2958">
        <w:rPr>
          <w:rStyle w:val="Hyperlink"/>
          <w:color w:val="auto"/>
          <w:sz w:val="18"/>
          <w:szCs w:val="18"/>
        </w:rPr>
        <w:t>.</w:t>
      </w:r>
    </w:p>
  </w:footnote>
  <w:footnote w:id="14">
    <w:p w14:paraId="51BCED06" w14:textId="77777777" w:rsidR="00E86304" w:rsidRPr="00717460" w:rsidRDefault="00E86304" w:rsidP="00E86304">
      <w:pPr>
        <w:pStyle w:val="FootnoteText"/>
        <w:rPr>
          <w:sz w:val="18"/>
          <w:szCs w:val="18"/>
          <w:lang w:val="en-AU"/>
        </w:rPr>
      </w:pPr>
      <w:r w:rsidRPr="00717460">
        <w:rPr>
          <w:rStyle w:val="FootnoteReference"/>
          <w:sz w:val="18"/>
          <w:szCs w:val="18"/>
        </w:rPr>
        <w:footnoteRef/>
      </w:r>
      <w:r w:rsidRPr="00717460">
        <w:rPr>
          <w:sz w:val="18"/>
          <w:szCs w:val="18"/>
          <w:lang w:val="en-AU"/>
        </w:rPr>
        <w:t xml:space="preserve">See </w:t>
      </w:r>
      <w:hyperlink r:id="rId14" w:history="1">
        <w:r w:rsidRPr="00DE1224">
          <w:rPr>
            <w:rStyle w:val="Hyperlink"/>
            <w:sz w:val="18"/>
            <w:szCs w:val="18"/>
          </w:rPr>
          <w:t>https://www.ag.gov.au/legal-system/publications/guide-framing-commonwealth-offences-infringement-notices-and-enforcement-powers</w:t>
        </w:r>
      </w:hyperlink>
      <w:r w:rsidRPr="006F2958">
        <w:rPr>
          <w:rStyle w:val="Hyperlink"/>
          <w:color w:val="auto"/>
          <w:sz w:val="18"/>
          <w:szCs w:val="18"/>
        </w:rPr>
        <w:t>.</w:t>
      </w:r>
    </w:p>
  </w:footnote>
  <w:footnote w:id="15">
    <w:p w14:paraId="57DDD3EC" w14:textId="77777777" w:rsidR="00E86304" w:rsidRPr="00717460" w:rsidRDefault="00E86304" w:rsidP="00E86304">
      <w:pPr>
        <w:pStyle w:val="FootnoteText"/>
        <w:rPr>
          <w:sz w:val="18"/>
          <w:szCs w:val="18"/>
          <w:lang w:val="en-AU"/>
        </w:rPr>
      </w:pPr>
      <w:r w:rsidRPr="00717460">
        <w:rPr>
          <w:rStyle w:val="FootnoteReference"/>
          <w:rFonts w:eastAsia="Calibri"/>
          <w:sz w:val="18"/>
          <w:szCs w:val="18"/>
        </w:rPr>
        <w:footnoteRef/>
      </w:r>
      <w:r w:rsidRPr="00717460">
        <w:rPr>
          <w:sz w:val="18"/>
          <w:szCs w:val="18"/>
        </w:rPr>
        <w:t xml:space="preserve"> </w:t>
      </w:r>
      <w:r w:rsidRPr="00717460">
        <w:rPr>
          <w:sz w:val="18"/>
          <w:szCs w:val="18"/>
          <w:lang w:val="en-AU"/>
        </w:rPr>
        <w:t>See</w:t>
      </w:r>
      <w:r w:rsidRPr="00717460">
        <w:rPr>
          <w:sz w:val="18"/>
          <w:szCs w:val="18"/>
        </w:rPr>
        <w:t xml:space="preserve"> </w:t>
      </w:r>
      <w:hyperlink r:id="rId15" w:history="1">
        <w:r>
          <w:rPr>
            <w:rStyle w:val="Hyperlink"/>
            <w:sz w:val="18"/>
            <w:szCs w:val="18"/>
            <w:lang w:val="en-AU"/>
          </w:rPr>
          <w:t>PSPF Policy 9: Classifications and Caveats</w:t>
        </w:r>
      </w:hyperlink>
      <w:r w:rsidRPr="006F2958">
        <w:rPr>
          <w:rStyle w:val="Hyperlink"/>
          <w:color w:val="auto"/>
          <w:sz w:val="18"/>
          <w:szCs w:val="18"/>
        </w:rPr>
        <w:t>.</w:t>
      </w:r>
    </w:p>
  </w:footnote>
  <w:footnote w:id="16">
    <w:p w14:paraId="7417EF48" w14:textId="77777777" w:rsidR="00E86304" w:rsidRPr="00717460" w:rsidRDefault="00E86304" w:rsidP="00E86304">
      <w:pPr>
        <w:pStyle w:val="FootnoteText"/>
        <w:rPr>
          <w:sz w:val="18"/>
          <w:szCs w:val="18"/>
          <w:lang w:val="en-AU"/>
        </w:rPr>
      </w:pPr>
      <w:r w:rsidRPr="00717460">
        <w:rPr>
          <w:rStyle w:val="FootnoteReference"/>
          <w:sz w:val="18"/>
          <w:szCs w:val="18"/>
        </w:rPr>
        <w:footnoteRef/>
      </w:r>
      <w:r w:rsidRPr="00717460">
        <w:rPr>
          <w:sz w:val="18"/>
          <w:szCs w:val="18"/>
        </w:rPr>
        <w:t xml:space="preserve"> </w:t>
      </w:r>
      <w:r w:rsidRPr="00717460">
        <w:rPr>
          <w:sz w:val="18"/>
          <w:szCs w:val="18"/>
          <w:lang w:val="en-AU"/>
        </w:rPr>
        <w:t>See</w:t>
      </w:r>
      <w:r>
        <w:rPr>
          <w:sz w:val="18"/>
          <w:szCs w:val="18"/>
          <w:lang w:val="en-AU"/>
        </w:rPr>
        <w:t xml:space="preserve"> </w:t>
      </w:r>
      <w:hyperlink r:id="rId16" w:history="1">
        <w:r w:rsidRPr="007912E0">
          <w:rPr>
            <w:rStyle w:val="Hyperlink"/>
            <w:sz w:val="18"/>
            <w:szCs w:val="18"/>
            <w:lang w:val="en-AU"/>
          </w:rPr>
          <w:t>https://www.protectivesecurity.gov.au/</w:t>
        </w:r>
      </w:hyperlink>
      <w:r w:rsidRPr="00717460">
        <w:rPr>
          <w:sz w:val="18"/>
          <w:szCs w:val="18"/>
          <w:lang w:val="en-AU"/>
        </w:rPr>
        <w:t>.</w:t>
      </w:r>
    </w:p>
  </w:footnote>
  <w:footnote w:id="17">
    <w:p w14:paraId="5543823C" w14:textId="77777777" w:rsidR="00E86304" w:rsidRPr="00717460" w:rsidRDefault="00E86304" w:rsidP="00E86304">
      <w:pPr>
        <w:pStyle w:val="FootnoteText"/>
        <w:rPr>
          <w:sz w:val="18"/>
          <w:szCs w:val="18"/>
          <w:lang w:val="en-AU"/>
        </w:rPr>
      </w:pPr>
      <w:r w:rsidRPr="00717460">
        <w:rPr>
          <w:rStyle w:val="FootnoteReference"/>
          <w:sz w:val="18"/>
          <w:szCs w:val="18"/>
        </w:rPr>
        <w:footnoteRef/>
      </w:r>
      <w:r w:rsidRPr="00717460">
        <w:rPr>
          <w:sz w:val="18"/>
          <w:szCs w:val="18"/>
        </w:rPr>
        <w:t xml:space="preserve"> </w:t>
      </w:r>
      <w:r w:rsidRPr="00717460">
        <w:rPr>
          <w:sz w:val="18"/>
          <w:szCs w:val="18"/>
          <w:lang w:val="en-AU"/>
        </w:rPr>
        <w:t xml:space="preserve">See section 13 of the </w:t>
      </w:r>
      <w:hyperlink r:id="rId17" w:history="1">
        <w:r w:rsidRPr="005C3D38">
          <w:rPr>
            <w:rStyle w:val="Hyperlink"/>
            <w:i/>
            <w:sz w:val="18"/>
            <w:szCs w:val="18"/>
            <w:lang w:val="en-AU"/>
          </w:rPr>
          <w:t>Public Service Act 1999</w:t>
        </w:r>
      </w:hyperlink>
      <w:r w:rsidRPr="00717460">
        <w:rPr>
          <w:sz w:val="18"/>
          <w:szCs w:val="18"/>
          <w:lang w:val="en-AU"/>
        </w:rPr>
        <w:t>.</w:t>
      </w:r>
    </w:p>
  </w:footnote>
  <w:footnote w:id="18">
    <w:p w14:paraId="19E812FD" w14:textId="77777777" w:rsidR="00E86304" w:rsidRPr="00717460" w:rsidRDefault="00E86304" w:rsidP="00E86304">
      <w:pPr>
        <w:pStyle w:val="FootnoteText"/>
        <w:rPr>
          <w:sz w:val="18"/>
          <w:szCs w:val="18"/>
          <w:lang w:val="en-AU"/>
        </w:rPr>
      </w:pPr>
      <w:r w:rsidRPr="00717460">
        <w:rPr>
          <w:rStyle w:val="FootnoteReference"/>
          <w:sz w:val="18"/>
          <w:szCs w:val="18"/>
        </w:rPr>
        <w:footnoteRef/>
      </w:r>
      <w:r w:rsidRPr="00717460">
        <w:rPr>
          <w:sz w:val="18"/>
          <w:szCs w:val="18"/>
        </w:rPr>
        <w:t xml:space="preserve"> The 2008 Review of the LIA explicitly recommended that agencies consider aligning all </w:t>
      </w:r>
      <w:r w:rsidRPr="00717460">
        <w:rPr>
          <w:sz w:val="18"/>
          <w:szCs w:val="18"/>
          <w:lang w:val="en-AU"/>
        </w:rPr>
        <w:t xml:space="preserve">additional publication requirements with the </w:t>
      </w:r>
      <w:r w:rsidRPr="00717460">
        <w:rPr>
          <w:sz w:val="18"/>
          <w:szCs w:val="18"/>
        </w:rPr>
        <w:t>LIA (now the LA) unless there are compelling reasons why that should not be done</w:t>
      </w:r>
      <w:r w:rsidRPr="00717460">
        <w:rPr>
          <w:sz w:val="18"/>
          <w:szCs w:val="18"/>
          <w:lang w:val="en-AU"/>
        </w:rPr>
        <w:t xml:space="preserve"> (see </w:t>
      </w:r>
      <w:hyperlink r:id="rId18" w:history="1">
        <w:hyperlink r:id="rId19" w:history="1">
          <w:r w:rsidRPr="00DE1224">
            <w:rPr>
              <w:rStyle w:val="Hyperlink"/>
              <w:i/>
              <w:sz w:val="18"/>
              <w:szCs w:val="18"/>
              <w:lang w:val="en-AU"/>
            </w:rPr>
            <w:t>2008 Review of the Legislative Instruments Act 2003</w:t>
          </w:r>
        </w:hyperlink>
      </w:hyperlink>
      <w:r w:rsidRPr="00717460">
        <w:rPr>
          <w:rStyle w:val="Hyperlink"/>
          <w:sz w:val="18"/>
          <w:szCs w:val="18"/>
          <w:lang w:val="en-AU"/>
        </w:rPr>
        <w:t>,</w:t>
      </w:r>
      <w:r w:rsidRPr="00717460">
        <w:rPr>
          <w:sz w:val="18"/>
          <w:szCs w:val="18"/>
          <w:lang w:val="en-AU"/>
        </w:rPr>
        <w:t xml:space="preserve"> recommendation 19).</w:t>
      </w:r>
    </w:p>
  </w:footnote>
  <w:footnote w:id="19">
    <w:p w14:paraId="772D298E" w14:textId="77777777" w:rsidR="00E86304" w:rsidRPr="00717460" w:rsidRDefault="00E86304" w:rsidP="00E86304">
      <w:pPr>
        <w:pStyle w:val="FootnoteText"/>
        <w:rPr>
          <w:sz w:val="18"/>
          <w:szCs w:val="18"/>
          <w:lang w:val="en-AU"/>
        </w:rPr>
      </w:pPr>
      <w:r w:rsidRPr="00717460">
        <w:rPr>
          <w:rStyle w:val="FootnoteReference"/>
          <w:sz w:val="18"/>
          <w:szCs w:val="18"/>
        </w:rPr>
        <w:footnoteRef/>
      </w:r>
      <w:r w:rsidRPr="00717460">
        <w:rPr>
          <w:sz w:val="18"/>
          <w:szCs w:val="18"/>
          <w:lang w:val="en-AU"/>
        </w:rPr>
        <w:t xml:space="preserve"> See</w:t>
      </w:r>
      <w:r w:rsidRPr="00717460">
        <w:rPr>
          <w:sz w:val="18"/>
          <w:szCs w:val="18"/>
        </w:rPr>
        <w:t xml:space="preserve"> </w:t>
      </w:r>
      <w:hyperlink r:id="rId20" w:history="1">
        <w:r w:rsidRPr="00DE1224">
          <w:rPr>
            <w:rStyle w:val="Hyperlink"/>
            <w:sz w:val="18"/>
            <w:szCs w:val="18"/>
          </w:rPr>
          <w:t>https://www.pmc.gov.au/resources/federal-executive-council-handbook-2021</w:t>
        </w:r>
      </w:hyperlink>
      <w:r w:rsidRPr="006F2958">
        <w:rPr>
          <w:rStyle w:val="Hyperlink"/>
          <w:color w:val="auto"/>
          <w:sz w:val="18"/>
          <w:szCs w:val="18"/>
        </w:rPr>
        <w:t>.</w:t>
      </w:r>
    </w:p>
  </w:footnote>
  <w:footnote w:id="20">
    <w:p w14:paraId="1AA02EE4" w14:textId="77777777" w:rsidR="00E86304" w:rsidRPr="00717460" w:rsidRDefault="00E86304" w:rsidP="00E86304">
      <w:pPr>
        <w:pStyle w:val="FootnoteText"/>
        <w:rPr>
          <w:spacing w:val="-2"/>
          <w:sz w:val="18"/>
          <w:szCs w:val="18"/>
          <w:lang w:val="en-AU"/>
        </w:rPr>
      </w:pPr>
      <w:r w:rsidRPr="00717460">
        <w:rPr>
          <w:rStyle w:val="FootnoteReference"/>
          <w:spacing w:val="-2"/>
          <w:sz w:val="18"/>
          <w:szCs w:val="18"/>
        </w:rPr>
        <w:footnoteRef/>
      </w:r>
      <w:r w:rsidRPr="00717460">
        <w:rPr>
          <w:sz w:val="18"/>
          <w:szCs w:val="18"/>
          <w:lang w:val="en-AU"/>
        </w:rPr>
        <w:t> See </w:t>
      </w:r>
      <w:hyperlink r:id="rId21" w:history="1">
        <w:r w:rsidRPr="00717460">
          <w:rPr>
            <w:rStyle w:val="Hyperlink"/>
            <w:spacing w:val="-2"/>
            <w:sz w:val="18"/>
            <w:szCs w:val="18"/>
          </w:rPr>
          <w:t>https://www.aph.gov.au/Parliamentary_Business/Committees/Senate/Regulations_and_Ordinances</w:t>
        </w:r>
      </w:hyperlink>
      <w:r w:rsidRPr="006F2958">
        <w:rPr>
          <w:rStyle w:val="Hyperlink"/>
          <w:color w:val="auto"/>
          <w:sz w:val="18"/>
          <w:szCs w:val="18"/>
        </w:rPr>
        <w:t>.</w:t>
      </w:r>
    </w:p>
  </w:footnote>
  <w:footnote w:id="21">
    <w:p w14:paraId="0E338F83" w14:textId="77777777" w:rsidR="00E86304" w:rsidRPr="00DE1224" w:rsidRDefault="00E86304" w:rsidP="00E86304">
      <w:pPr>
        <w:pStyle w:val="FootnoteText"/>
        <w:rPr>
          <w:sz w:val="18"/>
          <w:szCs w:val="18"/>
        </w:rPr>
      </w:pPr>
      <w:r w:rsidRPr="00DE1224">
        <w:rPr>
          <w:rStyle w:val="FootnoteReference"/>
          <w:sz w:val="18"/>
          <w:szCs w:val="18"/>
        </w:rPr>
        <w:footnoteRef/>
      </w:r>
      <w:r w:rsidRPr="00DE1224">
        <w:rPr>
          <w:sz w:val="18"/>
          <w:szCs w:val="18"/>
        </w:rPr>
        <w:t xml:space="preserve"> See </w:t>
      </w:r>
      <w:hyperlink r:id="rId22" w:history="1">
        <w:r w:rsidRPr="00DE1224">
          <w:rPr>
            <w:rStyle w:val="Hyperlink"/>
            <w:sz w:val="18"/>
            <w:szCs w:val="18"/>
          </w:rPr>
          <w:t>https://oia.pmc.gov.au/resources/forms-and-templates/australian-government-impact-analysis-preliminary-assessment-form</w:t>
        </w:r>
      </w:hyperlink>
      <w:r w:rsidRPr="006F2958">
        <w:rPr>
          <w:rStyle w:val="Hyperlink"/>
          <w:color w:val="auto"/>
          <w:sz w:val="18"/>
          <w:szCs w:val="18"/>
        </w:rPr>
        <w:t>.</w:t>
      </w:r>
    </w:p>
  </w:footnote>
  <w:footnote w:id="22">
    <w:p w14:paraId="6B154E48" w14:textId="77777777" w:rsidR="00E86304" w:rsidRPr="00DE1224" w:rsidRDefault="00E86304" w:rsidP="00E86304">
      <w:pPr>
        <w:pStyle w:val="FootnoteText"/>
        <w:rPr>
          <w:sz w:val="18"/>
          <w:szCs w:val="18"/>
        </w:rPr>
      </w:pPr>
      <w:r w:rsidRPr="00DE1224">
        <w:rPr>
          <w:rStyle w:val="FootnoteReference"/>
          <w:sz w:val="18"/>
          <w:szCs w:val="18"/>
        </w:rPr>
        <w:footnoteRef/>
      </w:r>
      <w:r w:rsidRPr="00DE1224">
        <w:rPr>
          <w:sz w:val="18"/>
          <w:szCs w:val="18"/>
        </w:rPr>
        <w:t xml:space="preserve"> </w:t>
      </w:r>
      <w:r w:rsidRPr="00717460">
        <w:rPr>
          <w:sz w:val="18"/>
          <w:szCs w:val="18"/>
        </w:rPr>
        <w:t xml:space="preserve">See </w:t>
      </w:r>
      <w:hyperlink r:id="rId23" w:history="1">
        <w:r w:rsidRPr="00717460">
          <w:rPr>
            <w:rStyle w:val="Hyperlink"/>
            <w:sz w:val="18"/>
            <w:szCs w:val="18"/>
          </w:rPr>
          <w:t>https://oia.pmc.gov.au/resources/guidance-impact-analysis/australian-government-guide-policy-impact-analysis</w:t>
        </w:r>
      </w:hyperlink>
      <w:r w:rsidRPr="006F2958">
        <w:rPr>
          <w:rStyle w:val="Hyperlink"/>
          <w:color w:val="auto"/>
          <w:sz w:val="18"/>
          <w:szCs w:val="18"/>
        </w:rPr>
        <w:t>.</w:t>
      </w:r>
    </w:p>
  </w:footnote>
  <w:footnote w:id="23">
    <w:p w14:paraId="2B691B1D" w14:textId="77777777" w:rsidR="00E86304" w:rsidRPr="00DE1224" w:rsidRDefault="00E86304" w:rsidP="00E86304">
      <w:pPr>
        <w:pStyle w:val="FootnoteText"/>
        <w:rPr>
          <w:sz w:val="18"/>
          <w:szCs w:val="18"/>
        </w:rPr>
      </w:pPr>
      <w:r w:rsidRPr="00DE1224">
        <w:rPr>
          <w:rStyle w:val="FootnoteReference"/>
          <w:sz w:val="18"/>
          <w:szCs w:val="18"/>
        </w:rPr>
        <w:footnoteRef/>
      </w:r>
      <w:r w:rsidRPr="00DE1224">
        <w:rPr>
          <w:sz w:val="18"/>
          <w:szCs w:val="18"/>
        </w:rPr>
        <w:t xml:space="preserve"> </w:t>
      </w:r>
      <w:r w:rsidRPr="00717460">
        <w:rPr>
          <w:sz w:val="18"/>
          <w:szCs w:val="18"/>
        </w:rPr>
        <w:t xml:space="preserve">See Table 1: Impact Analysis requirements for a sunsetting instrument, </w:t>
      </w:r>
      <w:hyperlink r:id="rId24" w:history="1">
        <w:r w:rsidRPr="00717460">
          <w:rPr>
            <w:rStyle w:val="Hyperlink"/>
            <w:sz w:val="18"/>
            <w:szCs w:val="18"/>
          </w:rPr>
          <w:t>https://oia.pmc.gov.au/resources/guidance-oia-procedures/sunsetting-legislative-instruments</w:t>
        </w:r>
      </w:hyperlink>
      <w:r w:rsidRPr="006F2958">
        <w:rPr>
          <w:rStyle w:val="Hyperlink"/>
          <w:color w:val="auto"/>
          <w:sz w:val="18"/>
          <w:szCs w:val="18"/>
        </w:rPr>
        <w:t>.</w:t>
      </w:r>
    </w:p>
  </w:footnote>
  <w:footnote w:id="24">
    <w:p w14:paraId="7A420438" w14:textId="77777777" w:rsidR="00E86304" w:rsidRPr="00DE1224" w:rsidRDefault="00E86304" w:rsidP="00E86304">
      <w:pPr>
        <w:pStyle w:val="FootnoteText"/>
        <w:rPr>
          <w:sz w:val="18"/>
          <w:szCs w:val="18"/>
        </w:rPr>
      </w:pPr>
      <w:r w:rsidRPr="00DE1224">
        <w:rPr>
          <w:rStyle w:val="FootnoteReference"/>
          <w:sz w:val="18"/>
          <w:szCs w:val="18"/>
        </w:rPr>
        <w:footnoteRef/>
      </w:r>
      <w:r w:rsidRPr="00DE1224">
        <w:rPr>
          <w:sz w:val="18"/>
          <w:szCs w:val="18"/>
        </w:rPr>
        <w:t xml:space="preserve"> </w:t>
      </w:r>
      <w:r w:rsidRPr="00717460">
        <w:rPr>
          <w:sz w:val="18"/>
          <w:szCs w:val="18"/>
        </w:rPr>
        <w:t xml:space="preserve">See </w:t>
      </w:r>
      <w:hyperlink r:id="rId25" w:history="1">
        <w:r w:rsidRPr="00717460">
          <w:rPr>
            <w:rStyle w:val="Hyperlink"/>
            <w:sz w:val="18"/>
            <w:szCs w:val="18"/>
          </w:rPr>
          <w:t>https://oia.pmc.gov.au/resources/guidance-impact-analysis/australian-government-guide-policy-impact-analysis</w:t>
        </w:r>
      </w:hyperlink>
      <w:r w:rsidRPr="006F2958">
        <w:rPr>
          <w:rStyle w:val="Hyperlink"/>
          <w:color w:val="auto"/>
          <w:sz w:val="18"/>
          <w:szCs w:val="18"/>
        </w:rPr>
        <w:t>.</w:t>
      </w:r>
    </w:p>
  </w:footnote>
  <w:footnote w:id="25">
    <w:p w14:paraId="51A8CCA2" w14:textId="77777777" w:rsidR="00E86304" w:rsidRPr="00DE1224" w:rsidRDefault="00E86304" w:rsidP="00E86304">
      <w:pPr>
        <w:pStyle w:val="FootnoteText"/>
        <w:rPr>
          <w:sz w:val="18"/>
          <w:szCs w:val="18"/>
        </w:rPr>
      </w:pPr>
      <w:r w:rsidRPr="00DE1224">
        <w:rPr>
          <w:rStyle w:val="FootnoteReference"/>
          <w:sz w:val="18"/>
          <w:szCs w:val="18"/>
        </w:rPr>
        <w:footnoteRef/>
      </w:r>
      <w:r w:rsidRPr="00DE1224">
        <w:rPr>
          <w:sz w:val="18"/>
          <w:szCs w:val="18"/>
        </w:rPr>
        <w:t xml:space="preserve"> </w:t>
      </w:r>
      <w:r w:rsidRPr="00717460">
        <w:rPr>
          <w:sz w:val="18"/>
          <w:szCs w:val="18"/>
        </w:rPr>
        <w:t xml:space="preserve">See </w:t>
      </w:r>
      <w:hyperlink r:id="rId26" w:history="1">
        <w:r w:rsidRPr="00717460">
          <w:rPr>
            <w:rStyle w:val="Hyperlink"/>
            <w:sz w:val="18"/>
            <w:szCs w:val="18"/>
          </w:rPr>
          <w:t>https://oia.pmc.gov.au/</w:t>
        </w:r>
      </w:hyperlink>
      <w:r w:rsidRPr="006F2958">
        <w:rPr>
          <w:rStyle w:val="Hyperlink"/>
          <w:color w:val="auto"/>
          <w:sz w:val="18"/>
          <w:szCs w:val="18"/>
        </w:rPr>
        <w:t>.</w:t>
      </w:r>
    </w:p>
  </w:footnote>
  <w:footnote w:id="26">
    <w:p w14:paraId="53BF3918" w14:textId="77777777" w:rsidR="00E86304" w:rsidRPr="00717460" w:rsidRDefault="00E86304" w:rsidP="00E86304">
      <w:pPr>
        <w:pStyle w:val="FootnoteText"/>
        <w:rPr>
          <w:sz w:val="18"/>
          <w:szCs w:val="18"/>
          <w:lang w:val="en-AU"/>
        </w:rPr>
      </w:pPr>
      <w:r w:rsidRPr="00717460">
        <w:rPr>
          <w:rStyle w:val="FootnoteReference"/>
          <w:sz w:val="18"/>
          <w:szCs w:val="18"/>
        </w:rPr>
        <w:footnoteRef/>
      </w:r>
      <w:r w:rsidRPr="00717460">
        <w:rPr>
          <w:sz w:val="18"/>
          <w:szCs w:val="18"/>
        </w:rPr>
        <w:t xml:space="preserve"> </w:t>
      </w:r>
      <w:r w:rsidRPr="00717460">
        <w:rPr>
          <w:sz w:val="18"/>
          <w:szCs w:val="18"/>
          <w:lang w:val="en-AU"/>
        </w:rPr>
        <w:t xml:space="preserve">See </w:t>
      </w:r>
      <w:hyperlink r:id="rId27" w:history="1">
        <w:r w:rsidRPr="00DE1224">
          <w:rPr>
            <w:rStyle w:val="Hyperlink"/>
            <w:sz w:val="18"/>
            <w:szCs w:val="18"/>
          </w:rPr>
          <w:t>https://www.pmc.gov.au/publications/guidance-caretaker-conventions</w:t>
        </w:r>
      </w:hyperlink>
      <w:r w:rsidRPr="006F2958">
        <w:rPr>
          <w:rStyle w:val="Hyperlink"/>
          <w:color w:val="auto"/>
          <w:sz w:val="18"/>
          <w:szCs w:val="18"/>
        </w:rPr>
        <w:t>.</w:t>
      </w:r>
    </w:p>
  </w:footnote>
  <w:footnote w:id="27">
    <w:p w14:paraId="69FE2A2E" w14:textId="77777777" w:rsidR="00E86304" w:rsidRPr="00717460" w:rsidRDefault="00E86304" w:rsidP="00E86304">
      <w:pPr>
        <w:pStyle w:val="FootnoteText"/>
        <w:rPr>
          <w:spacing w:val="-2"/>
          <w:sz w:val="18"/>
          <w:szCs w:val="18"/>
          <w:lang w:val="en-AU"/>
        </w:rPr>
      </w:pPr>
      <w:r w:rsidRPr="00717460">
        <w:rPr>
          <w:rStyle w:val="FootnoteReference"/>
          <w:sz w:val="18"/>
          <w:szCs w:val="18"/>
        </w:rPr>
        <w:footnoteRef/>
      </w:r>
      <w:r w:rsidRPr="00717460">
        <w:rPr>
          <w:sz w:val="18"/>
          <w:szCs w:val="18"/>
        </w:rPr>
        <w:t xml:space="preserve"> </w:t>
      </w:r>
      <w:r w:rsidRPr="00717460">
        <w:rPr>
          <w:spacing w:val="-2"/>
          <w:sz w:val="18"/>
          <w:szCs w:val="18"/>
          <w:lang w:val="en-AU"/>
        </w:rPr>
        <w:t xml:space="preserve">See </w:t>
      </w:r>
      <w:hyperlink r:id="rId28" w:history="1">
        <w:r w:rsidRPr="00DE1224">
          <w:rPr>
            <w:rStyle w:val="Hyperlink"/>
            <w:sz w:val="18"/>
            <w:szCs w:val="18"/>
          </w:rPr>
          <w:t>https://www.pmc.gov.au/resources/federal-executive-council-handbook-2021</w:t>
        </w:r>
      </w:hyperlink>
      <w:r w:rsidRPr="006F2958">
        <w:rPr>
          <w:rStyle w:val="Hyperlink"/>
          <w:color w:val="auto"/>
          <w:sz w:val="18"/>
          <w:szCs w:val="18"/>
        </w:rPr>
        <w:t>.</w:t>
      </w:r>
    </w:p>
  </w:footnote>
  <w:footnote w:id="28">
    <w:p w14:paraId="56A50618" w14:textId="77777777" w:rsidR="00E86304" w:rsidRPr="00717460" w:rsidRDefault="00E86304" w:rsidP="00E86304">
      <w:pPr>
        <w:pStyle w:val="FootnoteText"/>
        <w:rPr>
          <w:sz w:val="18"/>
          <w:szCs w:val="18"/>
          <w:lang w:val="en-AU"/>
        </w:rPr>
      </w:pPr>
      <w:r w:rsidRPr="00717460">
        <w:rPr>
          <w:rStyle w:val="FootnoteReference"/>
          <w:sz w:val="18"/>
          <w:szCs w:val="18"/>
        </w:rPr>
        <w:footnoteRef/>
      </w:r>
      <w:r w:rsidRPr="00717460">
        <w:rPr>
          <w:sz w:val="18"/>
          <w:szCs w:val="18"/>
        </w:rPr>
        <w:t xml:space="preserve"> </w:t>
      </w:r>
      <w:r w:rsidRPr="00717460">
        <w:rPr>
          <w:sz w:val="18"/>
          <w:szCs w:val="18"/>
          <w:lang w:val="en-AU"/>
        </w:rPr>
        <w:t xml:space="preserve">See </w:t>
      </w:r>
      <w:hyperlink r:id="rId29" w:history="1">
        <w:r w:rsidRPr="00DE1224">
          <w:rPr>
            <w:rStyle w:val="Hyperlink"/>
            <w:sz w:val="18"/>
            <w:szCs w:val="18"/>
          </w:rPr>
          <w:t>https://www.ag.gov.au/rights-and-protections/human-rights-and-anti-discrimination/human-rights-scrutiny</w:t>
        </w:r>
      </w:hyperlink>
      <w:r w:rsidRPr="006F2958">
        <w:rPr>
          <w:rStyle w:val="Hyperlink"/>
          <w:color w:val="auto"/>
          <w:sz w:val="18"/>
          <w:szCs w:val="18"/>
        </w:rPr>
        <w:t>.</w:t>
      </w:r>
    </w:p>
  </w:footnote>
  <w:footnote w:id="29">
    <w:p w14:paraId="13E7A954" w14:textId="77777777" w:rsidR="00E86304" w:rsidRPr="00DE1224" w:rsidRDefault="00E86304" w:rsidP="00E86304">
      <w:pPr>
        <w:pStyle w:val="FootnoteText"/>
        <w:rPr>
          <w:sz w:val="18"/>
          <w:szCs w:val="18"/>
        </w:rPr>
      </w:pPr>
      <w:r w:rsidRPr="00DE1224">
        <w:rPr>
          <w:rStyle w:val="FootnoteReference"/>
          <w:sz w:val="18"/>
          <w:szCs w:val="18"/>
        </w:rPr>
        <w:footnoteRef/>
      </w:r>
      <w:r w:rsidRPr="00DE1224">
        <w:rPr>
          <w:sz w:val="18"/>
          <w:szCs w:val="18"/>
        </w:rPr>
        <w:t xml:space="preserve"> </w:t>
      </w:r>
      <w:r w:rsidRPr="00717460">
        <w:rPr>
          <w:sz w:val="18"/>
          <w:szCs w:val="18"/>
        </w:rPr>
        <w:t xml:space="preserve">See </w:t>
      </w:r>
      <w:hyperlink r:id="rId30" w:history="1">
        <w:r w:rsidRPr="005C310C">
          <w:rPr>
            <w:rStyle w:val="Hyperlink"/>
            <w:sz w:val="18"/>
            <w:szCs w:val="18"/>
          </w:rPr>
          <w:t>https://oia.pmc.gov.au/resources/guidance-impact-analysis/australian-government-guide-policy-impact-analysis</w:t>
        </w:r>
      </w:hyperlink>
      <w:r w:rsidRPr="006F2958">
        <w:rPr>
          <w:rStyle w:val="Hyperlink"/>
          <w:color w:val="auto"/>
          <w:sz w:val="18"/>
          <w:szCs w:val="18"/>
        </w:rPr>
        <w:t>.</w:t>
      </w:r>
    </w:p>
  </w:footnote>
  <w:footnote w:id="30">
    <w:p w14:paraId="3957B07E" w14:textId="77777777" w:rsidR="00E86304" w:rsidRPr="00717460" w:rsidRDefault="00E86304" w:rsidP="00E86304">
      <w:pPr>
        <w:pStyle w:val="FootnoteText"/>
        <w:rPr>
          <w:sz w:val="18"/>
          <w:szCs w:val="18"/>
          <w:lang w:val="en-AU"/>
        </w:rPr>
      </w:pPr>
      <w:r w:rsidRPr="00717460">
        <w:rPr>
          <w:rStyle w:val="FootnoteReference"/>
          <w:sz w:val="18"/>
          <w:szCs w:val="18"/>
        </w:rPr>
        <w:footnoteRef/>
      </w:r>
      <w:r w:rsidRPr="00717460">
        <w:rPr>
          <w:sz w:val="18"/>
          <w:szCs w:val="18"/>
        </w:rPr>
        <w:t xml:space="preserve"> </w:t>
      </w:r>
      <w:r w:rsidRPr="00717460">
        <w:rPr>
          <w:sz w:val="18"/>
          <w:szCs w:val="18"/>
          <w:lang w:val="en-AU"/>
        </w:rPr>
        <w:t xml:space="preserve">See </w:t>
      </w:r>
      <w:hyperlink r:id="rId31" w:history="1">
        <w:r>
          <w:rPr>
            <w:rStyle w:val="Hyperlink"/>
            <w:sz w:val="18"/>
            <w:szCs w:val="18"/>
          </w:rPr>
          <w:t>https://www.ag.gov.au/legal-system/publications/what-decisions-should-be-subject-merit-review-1999</w:t>
        </w:r>
      </w:hyperlink>
      <w:r w:rsidRPr="006F2958">
        <w:rPr>
          <w:rStyle w:val="Hyperlink"/>
          <w:color w:val="auto"/>
          <w:sz w:val="18"/>
          <w:szCs w:val="18"/>
        </w:rPr>
        <w:t>.</w:t>
      </w:r>
    </w:p>
  </w:footnote>
  <w:footnote w:id="31">
    <w:p w14:paraId="741A955B" w14:textId="77777777" w:rsidR="00E86304" w:rsidRPr="00717460" w:rsidRDefault="00E86304" w:rsidP="00E86304">
      <w:pPr>
        <w:pStyle w:val="FootnoteText"/>
        <w:rPr>
          <w:sz w:val="18"/>
          <w:szCs w:val="18"/>
          <w:lang w:val="en-AU"/>
        </w:rPr>
      </w:pPr>
      <w:r w:rsidRPr="00717460">
        <w:rPr>
          <w:rStyle w:val="FootnoteReference"/>
          <w:sz w:val="18"/>
          <w:szCs w:val="18"/>
        </w:rPr>
        <w:footnoteRef/>
      </w:r>
      <w:r w:rsidRPr="00717460">
        <w:rPr>
          <w:sz w:val="18"/>
          <w:szCs w:val="18"/>
        </w:rPr>
        <w:t xml:space="preserve"> </w:t>
      </w:r>
      <w:r w:rsidRPr="00717460">
        <w:rPr>
          <w:sz w:val="18"/>
          <w:szCs w:val="18"/>
          <w:lang w:val="en-AU"/>
        </w:rPr>
        <w:t xml:space="preserve">See </w:t>
      </w:r>
      <w:hyperlink r:id="rId32" w:history="1">
        <w:r w:rsidRPr="00DE1224">
          <w:rPr>
            <w:rStyle w:val="Hyperlink"/>
            <w:sz w:val="18"/>
            <w:szCs w:val="18"/>
          </w:rPr>
          <w:t>https://www.ag.gov.au/legal-system/publications/guide-framing-commonwealth-offences-infringement-notices-and-enforcement-powers</w:t>
        </w:r>
      </w:hyperlink>
      <w:r w:rsidRPr="006F2958">
        <w:rPr>
          <w:rStyle w:val="Hyperlink"/>
          <w:color w:val="auto"/>
          <w:sz w:val="18"/>
          <w:szCs w:val="18"/>
        </w:rPr>
        <w:t>.</w:t>
      </w:r>
    </w:p>
  </w:footnote>
  <w:footnote w:id="32">
    <w:p w14:paraId="3AE0BE1E" w14:textId="77777777" w:rsidR="00E86304" w:rsidRPr="00717460" w:rsidRDefault="00E86304" w:rsidP="00E86304">
      <w:pPr>
        <w:pStyle w:val="FootnoteText"/>
        <w:rPr>
          <w:sz w:val="18"/>
          <w:szCs w:val="18"/>
          <w:lang w:val="en-AU"/>
        </w:rPr>
      </w:pPr>
      <w:r w:rsidRPr="00717460">
        <w:rPr>
          <w:rStyle w:val="FootnoteReference"/>
          <w:sz w:val="18"/>
          <w:szCs w:val="18"/>
        </w:rPr>
        <w:footnoteRef/>
      </w:r>
      <w:r w:rsidRPr="00717460">
        <w:rPr>
          <w:sz w:val="18"/>
          <w:szCs w:val="18"/>
          <w:lang w:val="en-AU"/>
        </w:rPr>
        <w:t xml:space="preserve"> See </w:t>
      </w:r>
      <w:hyperlink r:id="rId33" w:history="1">
        <w:r w:rsidRPr="00DE1224">
          <w:rPr>
            <w:rStyle w:val="Hyperlink"/>
            <w:sz w:val="18"/>
            <w:szCs w:val="18"/>
            <w:lang w:val="en-AU"/>
          </w:rPr>
          <w:t>https://www.aph.gov.au/Parliamentary_Business/Committees/Senate/Regulations_and_Ordinances</w:t>
        </w:r>
      </w:hyperlink>
      <w:r w:rsidRPr="006F2958">
        <w:rPr>
          <w:rStyle w:val="Hyperlink"/>
          <w:color w:val="auto"/>
          <w:sz w:val="18"/>
          <w:szCs w:val="18"/>
        </w:rPr>
        <w:t>.</w:t>
      </w:r>
    </w:p>
  </w:footnote>
  <w:footnote w:id="33">
    <w:p w14:paraId="5AEA5AB1" w14:textId="77777777" w:rsidR="00E86304" w:rsidRPr="00717460" w:rsidRDefault="00E86304" w:rsidP="00E86304">
      <w:pPr>
        <w:pStyle w:val="FootnoteText"/>
        <w:rPr>
          <w:sz w:val="18"/>
          <w:szCs w:val="18"/>
          <w:lang w:val="en-AU"/>
        </w:rPr>
      </w:pPr>
      <w:r w:rsidRPr="00717460">
        <w:rPr>
          <w:rStyle w:val="FootnoteReference"/>
          <w:sz w:val="18"/>
          <w:szCs w:val="18"/>
        </w:rPr>
        <w:footnoteRef/>
      </w:r>
      <w:r w:rsidRPr="00717460">
        <w:rPr>
          <w:sz w:val="18"/>
          <w:szCs w:val="18"/>
        </w:rPr>
        <w:t xml:space="preserve"> </w:t>
      </w:r>
      <w:r w:rsidRPr="00717460">
        <w:rPr>
          <w:sz w:val="18"/>
          <w:szCs w:val="18"/>
          <w:lang w:val="en-AU"/>
        </w:rPr>
        <w:t xml:space="preserve">See </w:t>
      </w:r>
      <w:hyperlink r:id="rId34" w:history="1">
        <w:r w:rsidRPr="00DE1224">
          <w:rPr>
            <w:rStyle w:val="Hyperlink"/>
            <w:sz w:val="18"/>
            <w:szCs w:val="18"/>
          </w:rPr>
          <w:t>https://www.ag.gov.au/rights-and-protections/human-rights-and-anti-discrimination/human-rights-scrutiny</w:t>
        </w:r>
      </w:hyperlink>
      <w:r w:rsidRPr="006F2958">
        <w:rPr>
          <w:rStyle w:val="Hyperlink"/>
          <w:color w:val="auto"/>
          <w:sz w:val="18"/>
          <w:szCs w:val="18"/>
        </w:rPr>
        <w:t>.</w:t>
      </w:r>
    </w:p>
  </w:footnote>
  <w:footnote w:id="34">
    <w:p w14:paraId="6BA61150" w14:textId="77777777" w:rsidR="00E86304" w:rsidRPr="00717460" w:rsidRDefault="00E86304" w:rsidP="00E86304">
      <w:pPr>
        <w:pStyle w:val="FootnoteText"/>
        <w:rPr>
          <w:sz w:val="18"/>
          <w:szCs w:val="18"/>
          <w:lang w:val="en-AU"/>
        </w:rPr>
      </w:pPr>
      <w:r w:rsidRPr="00717460">
        <w:rPr>
          <w:rStyle w:val="FootnoteReference"/>
          <w:sz w:val="18"/>
          <w:szCs w:val="18"/>
        </w:rPr>
        <w:footnoteRef/>
      </w:r>
      <w:r w:rsidRPr="00717460">
        <w:rPr>
          <w:sz w:val="18"/>
          <w:szCs w:val="18"/>
        </w:rPr>
        <w:t xml:space="preserve"> </w:t>
      </w:r>
      <w:r w:rsidRPr="00717460">
        <w:rPr>
          <w:sz w:val="18"/>
          <w:szCs w:val="18"/>
          <w:lang w:val="en-AU"/>
        </w:rPr>
        <w:t xml:space="preserve">See </w:t>
      </w:r>
      <w:hyperlink r:id="rId35" w:history="1">
        <w:r w:rsidRPr="00DE1224">
          <w:rPr>
            <w:rStyle w:val="Hyperlink"/>
            <w:sz w:val="18"/>
            <w:szCs w:val="18"/>
          </w:rPr>
          <w:t>https://www.aph.gov.au/Parliamentary_Business/Committees/Joint/Human_Rights</w:t>
        </w:r>
      </w:hyperlink>
      <w:r w:rsidRPr="006F2958">
        <w:rPr>
          <w:rStyle w:val="Hyperlink"/>
          <w:color w:val="auto"/>
          <w:sz w:val="18"/>
          <w:szCs w:val="18"/>
        </w:rPr>
        <w:t>.</w:t>
      </w:r>
    </w:p>
  </w:footnote>
  <w:footnote w:id="35">
    <w:p w14:paraId="5CF3222C" w14:textId="77777777" w:rsidR="00E86304" w:rsidRPr="00717460" w:rsidRDefault="00E86304" w:rsidP="00E86304">
      <w:pPr>
        <w:pStyle w:val="FootnoteText"/>
        <w:rPr>
          <w:sz w:val="18"/>
          <w:szCs w:val="18"/>
          <w:lang w:val="en-AU"/>
        </w:rPr>
      </w:pPr>
      <w:r w:rsidRPr="00717460">
        <w:rPr>
          <w:rStyle w:val="FootnoteReference"/>
          <w:sz w:val="18"/>
          <w:szCs w:val="18"/>
        </w:rPr>
        <w:footnoteRef/>
      </w:r>
      <w:r w:rsidRPr="00717460">
        <w:rPr>
          <w:sz w:val="18"/>
          <w:szCs w:val="18"/>
        </w:rPr>
        <w:t xml:space="preserve"> </w:t>
      </w:r>
      <w:r w:rsidRPr="00717460">
        <w:rPr>
          <w:sz w:val="18"/>
          <w:szCs w:val="18"/>
          <w:lang w:val="en-AU"/>
        </w:rPr>
        <w:t xml:space="preserve">See </w:t>
      </w:r>
      <w:hyperlink r:id="rId36" w:history="1">
        <w:r w:rsidRPr="00717460">
          <w:rPr>
            <w:rStyle w:val="Hyperlink"/>
            <w:sz w:val="18"/>
            <w:szCs w:val="18"/>
            <w:lang w:val="en-AU"/>
          </w:rPr>
          <w:t xml:space="preserve">2008 Review of the </w:t>
        </w:r>
        <w:r w:rsidRPr="00717460">
          <w:rPr>
            <w:rStyle w:val="Hyperlink"/>
            <w:i/>
            <w:sz w:val="18"/>
            <w:szCs w:val="18"/>
            <w:lang w:val="en-AU"/>
          </w:rPr>
          <w:t>Legislation Act 2003</w:t>
        </w:r>
      </w:hyperlink>
      <w:r w:rsidRPr="00717460">
        <w:rPr>
          <w:sz w:val="18"/>
          <w:szCs w:val="18"/>
          <w:lang w:val="en-AU"/>
        </w:rPr>
        <w:t>, chapter 8.3.</w:t>
      </w:r>
    </w:p>
  </w:footnote>
  <w:footnote w:id="36">
    <w:p w14:paraId="7672D26A" w14:textId="77777777" w:rsidR="00E86304" w:rsidRPr="00717460" w:rsidRDefault="00E86304" w:rsidP="00E86304">
      <w:pPr>
        <w:pStyle w:val="FootnoteText"/>
        <w:rPr>
          <w:sz w:val="18"/>
          <w:szCs w:val="18"/>
          <w:lang w:val="en-AU"/>
        </w:rPr>
      </w:pPr>
      <w:r w:rsidRPr="00717460">
        <w:rPr>
          <w:rStyle w:val="FootnoteReference"/>
          <w:sz w:val="18"/>
          <w:szCs w:val="18"/>
        </w:rPr>
        <w:footnoteRef/>
      </w:r>
      <w:r w:rsidRPr="00717460">
        <w:rPr>
          <w:sz w:val="18"/>
          <w:szCs w:val="18"/>
        </w:rPr>
        <w:t xml:space="preserve"> </w:t>
      </w:r>
      <w:r w:rsidRPr="00717460">
        <w:rPr>
          <w:sz w:val="18"/>
          <w:szCs w:val="18"/>
          <w:lang w:val="en-AU"/>
        </w:rPr>
        <w:t xml:space="preserve">See </w:t>
      </w:r>
      <w:hyperlink r:id="rId37" w:history="1">
        <w:r w:rsidRPr="00DE1224">
          <w:rPr>
            <w:rStyle w:val="Hyperlink"/>
            <w:sz w:val="18"/>
            <w:szCs w:val="18"/>
          </w:rPr>
          <w:t>https://www.aph.gov.au/Parliamentary_Business/Chamber_documents/Senate_chamber_documents/Journals_of_the_Senate</w:t>
        </w:r>
      </w:hyperlink>
      <w:r w:rsidRPr="006F2958">
        <w:rPr>
          <w:rStyle w:val="Hyperlink"/>
          <w:color w:val="auto"/>
          <w:sz w:val="18"/>
          <w:szCs w:val="18"/>
        </w:rPr>
        <w:t>.</w:t>
      </w:r>
    </w:p>
  </w:footnote>
  <w:footnote w:id="37">
    <w:p w14:paraId="2DFF23F2" w14:textId="77777777" w:rsidR="00E86304" w:rsidRPr="00717460" w:rsidRDefault="00E86304" w:rsidP="00E86304">
      <w:pPr>
        <w:pStyle w:val="FootnoteText"/>
        <w:rPr>
          <w:sz w:val="18"/>
          <w:szCs w:val="18"/>
          <w:lang w:val="en-AU"/>
        </w:rPr>
      </w:pPr>
      <w:r w:rsidRPr="00717460">
        <w:rPr>
          <w:rStyle w:val="FootnoteReference"/>
          <w:sz w:val="18"/>
          <w:szCs w:val="18"/>
        </w:rPr>
        <w:footnoteRef/>
      </w:r>
      <w:r w:rsidRPr="00717460">
        <w:rPr>
          <w:sz w:val="18"/>
          <w:szCs w:val="18"/>
        </w:rPr>
        <w:t xml:space="preserve"> </w:t>
      </w:r>
      <w:r w:rsidRPr="00717460">
        <w:rPr>
          <w:sz w:val="18"/>
          <w:szCs w:val="18"/>
          <w:lang w:val="en-AU"/>
        </w:rPr>
        <w:t xml:space="preserve">See </w:t>
      </w:r>
      <w:hyperlink r:id="rId38" w:history="1">
        <w:r w:rsidRPr="00DE1224">
          <w:rPr>
            <w:rStyle w:val="Hyperlink"/>
            <w:sz w:val="18"/>
            <w:szCs w:val="18"/>
          </w:rPr>
          <w:t>https://www.aph.gov.au/Parliamentary_Business/Chamber_documents/HoR/Votes_and_Proceedings</w:t>
        </w:r>
      </w:hyperlink>
      <w:r w:rsidRPr="006F2958">
        <w:rPr>
          <w:rStyle w:val="Hyperlink"/>
          <w:color w:val="auto"/>
          <w:sz w:val="18"/>
          <w:szCs w:val="18"/>
        </w:rPr>
        <w:t>.</w:t>
      </w:r>
    </w:p>
  </w:footnote>
  <w:footnote w:id="38">
    <w:p w14:paraId="3012C312" w14:textId="77777777" w:rsidR="00E86304" w:rsidRPr="00717460" w:rsidRDefault="00E86304" w:rsidP="00E86304">
      <w:pPr>
        <w:pStyle w:val="FootnoteText"/>
        <w:rPr>
          <w:sz w:val="18"/>
          <w:szCs w:val="18"/>
          <w:lang w:val="en-AU"/>
        </w:rPr>
      </w:pPr>
      <w:r w:rsidRPr="00717460">
        <w:rPr>
          <w:rStyle w:val="FootnoteReference"/>
          <w:sz w:val="18"/>
          <w:szCs w:val="18"/>
        </w:rPr>
        <w:footnoteRef/>
      </w:r>
      <w:r w:rsidRPr="00717460">
        <w:rPr>
          <w:sz w:val="18"/>
          <w:szCs w:val="18"/>
        </w:rPr>
        <w:t xml:space="preserve"> </w:t>
      </w:r>
      <w:r w:rsidRPr="00717460">
        <w:rPr>
          <w:sz w:val="18"/>
          <w:szCs w:val="18"/>
          <w:lang w:val="en-AU"/>
        </w:rPr>
        <w:t xml:space="preserve">See </w:t>
      </w:r>
      <w:hyperlink r:id="rId39" w:history="1">
        <w:r w:rsidRPr="00DE1224">
          <w:rPr>
            <w:rStyle w:val="Hyperlink"/>
            <w:sz w:val="18"/>
            <w:szCs w:val="18"/>
            <w:lang w:val="en-AU"/>
          </w:rPr>
          <w:t>https://www.pmc.gov.au/resources/tabling-guidelines</w:t>
        </w:r>
      </w:hyperlink>
      <w:r w:rsidRPr="006F2958">
        <w:rPr>
          <w:rStyle w:val="Hyperlink"/>
          <w:color w:val="auto"/>
          <w:sz w:val="18"/>
          <w:szCs w:val="18"/>
        </w:rPr>
        <w:t>.</w:t>
      </w:r>
    </w:p>
  </w:footnote>
  <w:footnote w:id="39">
    <w:p w14:paraId="5AD2604E" w14:textId="77777777" w:rsidR="00E86304" w:rsidRPr="00717460" w:rsidRDefault="00E86304" w:rsidP="00E86304">
      <w:pPr>
        <w:pStyle w:val="FootnoteText"/>
        <w:rPr>
          <w:sz w:val="18"/>
          <w:szCs w:val="18"/>
          <w:lang w:val="en-AU"/>
        </w:rPr>
      </w:pPr>
      <w:r w:rsidRPr="00717460">
        <w:rPr>
          <w:rStyle w:val="FootnoteReference"/>
          <w:sz w:val="18"/>
          <w:szCs w:val="18"/>
        </w:rPr>
        <w:footnoteRef/>
      </w:r>
      <w:r w:rsidRPr="00717460">
        <w:rPr>
          <w:sz w:val="18"/>
          <w:szCs w:val="18"/>
        </w:rPr>
        <w:t xml:space="preserve"> </w:t>
      </w:r>
      <w:r w:rsidRPr="00717460">
        <w:rPr>
          <w:sz w:val="18"/>
          <w:szCs w:val="18"/>
          <w:lang w:val="en-AU"/>
        </w:rPr>
        <w:t xml:space="preserve">See </w:t>
      </w:r>
      <w:hyperlink r:id="rId40" w:history="1">
        <w:r w:rsidRPr="00DE1224">
          <w:rPr>
            <w:rStyle w:val="Hyperlink"/>
            <w:sz w:val="18"/>
            <w:szCs w:val="18"/>
            <w:lang w:val="en-AU"/>
          </w:rPr>
          <w:t>https://www.aph.gov.au/Parliamentary_Business/Bills_Legislation/Disallowance_Alert</w:t>
        </w:r>
      </w:hyperlink>
      <w:r w:rsidRPr="006F2958">
        <w:rPr>
          <w:rStyle w:val="Hyperlink"/>
          <w:color w:val="auto"/>
          <w:sz w:val="18"/>
          <w:szCs w:val="18"/>
        </w:rPr>
        <w:t>.</w:t>
      </w:r>
    </w:p>
  </w:footnote>
  <w:footnote w:id="40">
    <w:p w14:paraId="53C57736" w14:textId="77777777" w:rsidR="00E86304" w:rsidRPr="00717460" w:rsidRDefault="00E86304" w:rsidP="00E86304">
      <w:pPr>
        <w:pStyle w:val="FootnoteText"/>
        <w:rPr>
          <w:sz w:val="18"/>
          <w:szCs w:val="18"/>
          <w:lang w:val="en-AU"/>
        </w:rPr>
      </w:pPr>
      <w:r w:rsidRPr="00717460">
        <w:rPr>
          <w:rStyle w:val="FootnoteReference"/>
          <w:sz w:val="18"/>
          <w:szCs w:val="18"/>
        </w:rPr>
        <w:footnoteRef/>
      </w:r>
      <w:r w:rsidRPr="00717460">
        <w:rPr>
          <w:sz w:val="18"/>
          <w:szCs w:val="18"/>
        </w:rPr>
        <w:t xml:space="preserve"> </w:t>
      </w:r>
      <w:r w:rsidRPr="00717460">
        <w:rPr>
          <w:sz w:val="18"/>
          <w:szCs w:val="18"/>
          <w:lang w:val="en-AU"/>
        </w:rPr>
        <w:t xml:space="preserve">See </w:t>
      </w:r>
      <w:hyperlink r:id="rId41" w:history="1">
        <w:r w:rsidRPr="00717460">
          <w:rPr>
            <w:rStyle w:val="Hyperlink"/>
            <w:i/>
            <w:sz w:val="18"/>
            <w:szCs w:val="18"/>
            <w:lang w:val="en-AU"/>
          </w:rPr>
          <w:t>Victorian Chamber of Manufactures v Commonwealth (Women’s Employment Regulations)</w:t>
        </w:r>
        <w:r w:rsidRPr="00717460">
          <w:rPr>
            <w:rStyle w:val="Hyperlink"/>
            <w:sz w:val="18"/>
            <w:szCs w:val="18"/>
            <w:lang w:val="en-AU"/>
          </w:rPr>
          <w:t xml:space="preserve"> [1943] HCA 21; (1943) 67 CLR 347 (13 August 1943)</w:t>
        </w:r>
      </w:hyperlink>
      <w:r w:rsidRPr="00717460">
        <w:rPr>
          <w:sz w:val="18"/>
          <w:szCs w:val="18"/>
          <w:lang w:val="en-AU"/>
        </w:rPr>
        <w:t xml:space="preserve">, and </w:t>
      </w:r>
      <w:hyperlink r:id="rId42" w:history="1">
        <w:r w:rsidRPr="00717460">
          <w:rPr>
            <w:rStyle w:val="Hyperlink"/>
            <w:i/>
            <w:sz w:val="18"/>
            <w:szCs w:val="18"/>
            <w:lang w:val="en-AU"/>
          </w:rPr>
          <w:t>Perrett v Attorney-General of the Commonwealth of Australia</w:t>
        </w:r>
        <w:r w:rsidRPr="00717460">
          <w:rPr>
            <w:rStyle w:val="Hyperlink"/>
            <w:sz w:val="18"/>
            <w:szCs w:val="18"/>
            <w:lang w:val="en-AU"/>
          </w:rPr>
          <w:t xml:space="preserve"> [2015] FCA 834</w:t>
        </w:r>
      </w:hyperlink>
      <w:r w:rsidRPr="006F2958">
        <w:rPr>
          <w:rStyle w:val="Hyperlink"/>
          <w:color w:val="auto"/>
          <w:sz w:val="18"/>
          <w:szCs w:val="18"/>
        </w:rPr>
        <w:t>.</w:t>
      </w:r>
    </w:p>
  </w:footnote>
  <w:footnote w:id="41">
    <w:p w14:paraId="597B3B84" w14:textId="77777777" w:rsidR="00E86304" w:rsidRPr="00717460" w:rsidRDefault="00E86304" w:rsidP="00E86304">
      <w:pPr>
        <w:pStyle w:val="FootnoteText"/>
        <w:rPr>
          <w:sz w:val="18"/>
          <w:szCs w:val="18"/>
          <w:lang w:val="en-AU"/>
        </w:rPr>
      </w:pPr>
      <w:r w:rsidRPr="00717460">
        <w:rPr>
          <w:rStyle w:val="FootnoteReference"/>
          <w:sz w:val="18"/>
          <w:szCs w:val="18"/>
        </w:rPr>
        <w:footnoteRef/>
      </w:r>
      <w:r w:rsidRPr="00717460">
        <w:rPr>
          <w:sz w:val="18"/>
          <w:szCs w:val="18"/>
        </w:rPr>
        <w:t xml:space="preserve"> </w:t>
      </w:r>
      <w:r w:rsidRPr="00717460">
        <w:rPr>
          <w:sz w:val="18"/>
          <w:szCs w:val="18"/>
          <w:lang w:val="en-AU"/>
        </w:rPr>
        <w:t xml:space="preserve">See </w:t>
      </w:r>
      <w:hyperlink r:id="rId43" w:history="1">
        <w:r w:rsidRPr="00DE1224">
          <w:rPr>
            <w:rStyle w:val="Hyperlink"/>
            <w:sz w:val="18"/>
            <w:szCs w:val="18"/>
          </w:rPr>
          <w:t>https://www.ag.gov.au/legal-system/administrative-law/legislation-act-2003</w:t>
        </w:r>
      </w:hyperlink>
      <w:r w:rsidRPr="006F2958">
        <w:rPr>
          <w:rStyle w:val="Hyperlink"/>
          <w:color w:val="auto"/>
          <w:sz w:val="18"/>
          <w:szCs w:val="18"/>
        </w:rPr>
        <w:t>.</w:t>
      </w:r>
    </w:p>
  </w:footnote>
  <w:footnote w:id="42">
    <w:p w14:paraId="67A71C2E" w14:textId="77777777" w:rsidR="00E86304" w:rsidRPr="00717460" w:rsidRDefault="00E86304" w:rsidP="00E86304">
      <w:pPr>
        <w:pStyle w:val="FootnoteText"/>
        <w:rPr>
          <w:sz w:val="18"/>
          <w:szCs w:val="18"/>
          <w:lang w:val="en-AU"/>
        </w:rPr>
      </w:pPr>
      <w:r w:rsidRPr="00717460">
        <w:rPr>
          <w:rStyle w:val="FootnoteReference"/>
          <w:sz w:val="18"/>
          <w:szCs w:val="18"/>
        </w:rPr>
        <w:footnoteRef/>
      </w:r>
      <w:r w:rsidRPr="00717460">
        <w:rPr>
          <w:sz w:val="18"/>
          <w:szCs w:val="18"/>
        </w:rPr>
        <w:t xml:space="preserve"> </w:t>
      </w:r>
      <w:r w:rsidRPr="00717460">
        <w:rPr>
          <w:sz w:val="18"/>
          <w:szCs w:val="18"/>
          <w:lang w:val="en-AU"/>
        </w:rPr>
        <w:t xml:space="preserve">See </w:t>
      </w:r>
      <w:hyperlink r:id="rId44" w:history="1">
        <w:r w:rsidRPr="00DE1224">
          <w:rPr>
            <w:rStyle w:val="Hyperlink"/>
            <w:sz w:val="18"/>
            <w:szCs w:val="18"/>
          </w:rPr>
          <w:t>https://www.ag.gov.au/legal-system/administrative-law/legislation-act-2003</w:t>
        </w:r>
      </w:hyperlink>
      <w:r w:rsidRPr="006F2958">
        <w:rPr>
          <w:rStyle w:val="Hyperlink"/>
          <w:color w:val="auto"/>
          <w:sz w:val="18"/>
          <w:szCs w:val="18"/>
        </w:rPr>
        <w:t>.</w:t>
      </w:r>
    </w:p>
  </w:footnote>
  <w:footnote w:id="43">
    <w:p w14:paraId="10F0F9C3" w14:textId="77777777" w:rsidR="00E86304" w:rsidRPr="00717460" w:rsidRDefault="00E86304" w:rsidP="00E86304">
      <w:pPr>
        <w:pStyle w:val="FootnoteText"/>
        <w:rPr>
          <w:sz w:val="18"/>
          <w:szCs w:val="18"/>
          <w:lang w:val="en-AU"/>
        </w:rPr>
      </w:pPr>
      <w:r w:rsidRPr="00717460">
        <w:rPr>
          <w:rStyle w:val="FootnoteReference"/>
          <w:sz w:val="18"/>
          <w:szCs w:val="18"/>
        </w:rPr>
        <w:footnoteRef/>
      </w:r>
      <w:r w:rsidRPr="00717460">
        <w:rPr>
          <w:sz w:val="18"/>
          <w:szCs w:val="18"/>
        </w:rPr>
        <w:t xml:space="preserve"> </w:t>
      </w:r>
      <w:r w:rsidRPr="00717460">
        <w:rPr>
          <w:sz w:val="18"/>
          <w:szCs w:val="18"/>
          <w:lang w:val="en-AU"/>
        </w:rPr>
        <w:t xml:space="preserve">See </w:t>
      </w:r>
      <w:hyperlink r:id="rId45" w:history="1">
        <w:r w:rsidRPr="00717460">
          <w:rPr>
            <w:rStyle w:val="Hyperlink"/>
            <w:sz w:val="18"/>
            <w:szCs w:val="18"/>
            <w:lang w:val="en-AU"/>
          </w:rPr>
          <w:t>https://www.legislation.gov.au/help-and-resources/understanding-legislation/sunsetting-lists</w:t>
        </w:r>
      </w:hyperlink>
      <w:r w:rsidRPr="006F2958">
        <w:rPr>
          <w:rStyle w:val="Hyperlink"/>
          <w:color w:val="auto"/>
          <w:sz w:val="18"/>
          <w:szCs w:val="18"/>
        </w:rPr>
        <w:t>.</w:t>
      </w:r>
    </w:p>
  </w:footnote>
  <w:footnote w:id="44">
    <w:p w14:paraId="07AA7AA5" w14:textId="77777777" w:rsidR="00E86304" w:rsidRPr="00717460" w:rsidRDefault="00E86304" w:rsidP="00E86304">
      <w:pPr>
        <w:pStyle w:val="FootnoteText"/>
        <w:rPr>
          <w:sz w:val="18"/>
          <w:szCs w:val="18"/>
          <w:lang w:val="en-AU"/>
        </w:rPr>
      </w:pPr>
      <w:r w:rsidRPr="00717460">
        <w:rPr>
          <w:rStyle w:val="FootnoteReference"/>
          <w:sz w:val="18"/>
          <w:szCs w:val="18"/>
        </w:rPr>
        <w:footnoteRef/>
      </w:r>
      <w:r w:rsidRPr="00717460">
        <w:rPr>
          <w:sz w:val="18"/>
          <w:szCs w:val="18"/>
        </w:rPr>
        <w:t xml:space="preserve"> </w:t>
      </w:r>
      <w:r w:rsidRPr="00717460">
        <w:rPr>
          <w:sz w:val="18"/>
          <w:szCs w:val="18"/>
          <w:lang w:val="en-AU"/>
        </w:rPr>
        <w:t xml:space="preserve">See </w:t>
      </w:r>
      <w:hyperlink r:id="rId46" w:history="1">
        <w:r w:rsidRPr="00DE1224">
          <w:rPr>
            <w:rStyle w:val="Hyperlink"/>
            <w:sz w:val="18"/>
            <w:szCs w:val="18"/>
            <w:lang w:val="en-AU"/>
          </w:rPr>
          <w:t>https://www.pmc.gov.au/resources/tabling-guidelines</w:t>
        </w:r>
      </w:hyperlink>
      <w:r w:rsidRPr="006F2958">
        <w:rPr>
          <w:rStyle w:val="Hyperlink"/>
          <w:color w:val="auto"/>
          <w:sz w:val="18"/>
          <w:szCs w:val="18"/>
        </w:rPr>
        <w:t>.</w:t>
      </w:r>
    </w:p>
  </w:footnote>
  <w:footnote w:id="45">
    <w:p w14:paraId="322FC663" w14:textId="77777777" w:rsidR="00E86304" w:rsidRPr="00717460" w:rsidRDefault="00E86304" w:rsidP="00E86304">
      <w:pPr>
        <w:pStyle w:val="FootnoteText"/>
        <w:rPr>
          <w:sz w:val="18"/>
          <w:szCs w:val="18"/>
          <w:lang w:val="en-AU"/>
        </w:rPr>
      </w:pPr>
      <w:r w:rsidRPr="00717460">
        <w:rPr>
          <w:rStyle w:val="FootnoteReference"/>
          <w:sz w:val="18"/>
          <w:szCs w:val="18"/>
        </w:rPr>
        <w:footnoteRef/>
      </w:r>
      <w:r w:rsidRPr="00717460">
        <w:rPr>
          <w:sz w:val="18"/>
          <w:szCs w:val="18"/>
        </w:rPr>
        <w:t xml:space="preserve"> </w:t>
      </w:r>
      <w:r w:rsidRPr="00717460">
        <w:rPr>
          <w:sz w:val="18"/>
          <w:szCs w:val="18"/>
          <w:lang w:val="en-AU"/>
        </w:rPr>
        <w:t xml:space="preserve">See </w:t>
      </w:r>
      <w:hyperlink r:id="rId47" w:history="1">
        <w:r w:rsidRPr="00717460">
          <w:rPr>
            <w:rStyle w:val="Hyperlink"/>
            <w:sz w:val="18"/>
            <w:szCs w:val="18"/>
          </w:rPr>
          <w:t>https://www.legislation.gov.au/legislative-instruments/sunsetting</w:t>
        </w:r>
      </w:hyperlink>
      <w:r w:rsidRPr="006F2958">
        <w:rPr>
          <w:rStyle w:val="Hyperlink"/>
          <w:color w:val="auto"/>
          <w:sz w:val="18"/>
          <w:szCs w:val="18"/>
        </w:rPr>
        <w:t>.</w:t>
      </w:r>
    </w:p>
  </w:footnote>
  <w:footnote w:id="46">
    <w:p w14:paraId="6DDA9183" w14:textId="77777777" w:rsidR="00E86304" w:rsidRPr="00717460" w:rsidRDefault="00E86304" w:rsidP="00E86304">
      <w:pPr>
        <w:pStyle w:val="FootnoteText"/>
        <w:rPr>
          <w:sz w:val="18"/>
          <w:szCs w:val="18"/>
          <w:lang w:val="en-AU"/>
        </w:rPr>
      </w:pPr>
      <w:r w:rsidRPr="00717460">
        <w:rPr>
          <w:rStyle w:val="FootnoteReference"/>
          <w:sz w:val="18"/>
          <w:szCs w:val="18"/>
        </w:rPr>
        <w:footnoteRef/>
      </w:r>
      <w:r w:rsidRPr="00717460">
        <w:rPr>
          <w:sz w:val="18"/>
          <w:szCs w:val="18"/>
        </w:rPr>
        <w:t xml:space="preserve"> </w:t>
      </w:r>
      <w:r w:rsidRPr="00717460">
        <w:rPr>
          <w:sz w:val="18"/>
          <w:szCs w:val="18"/>
          <w:lang w:val="en-AU"/>
        </w:rPr>
        <w:t xml:space="preserve">See </w:t>
      </w:r>
      <w:hyperlink r:id="rId48" w:history="1">
        <w:r w:rsidRPr="00DE1224">
          <w:rPr>
            <w:rStyle w:val="Hyperlink"/>
            <w:sz w:val="18"/>
            <w:szCs w:val="18"/>
          </w:rPr>
          <w:t>https://www.ag.gov.au/legal-system/administrative-law/legislation-act-2003</w:t>
        </w:r>
      </w:hyperlink>
      <w:r w:rsidRPr="006F2958">
        <w:rPr>
          <w:rStyle w:val="Hyperlink"/>
          <w:color w:val="auto"/>
          <w:sz w:val="18"/>
          <w:szCs w:val="18"/>
        </w:rPr>
        <w:t>.</w:t>
      </w:r>
    </w:p>
  </w:footnote>
  <w:footnote w:id="47">
    <w:p w14:paraId="750D4EB7" w14:textId="77777777" w:rsidR="00E86304" w:rsidRPr="00717460" w:rsidRDefault="00E86304" w:rsidP="00E86304">
      <w:pPr>
        <w:pStyle w:val="FootnoteText"/>
        <w:rPr>
          <w:sz w:val="18"/>
          <w:szCs w:val="18"/>
          <w:lang w:val="en-AU"/>
        </w:rPr>
      </w:pPr>
      <w:r w:rsidRPr="00717460">
        <w:rPr>
          <w:rStyle w:val="FootnoteReference"/>
          <w:sz w:val="18"/>
          <w:szCs w:val="18"/>
        </w:rPr>
        <w:footnoteRef/>
      </w:r>
      <w:r w:rsidRPr="00717460">
        <w:rPr>
          <w:sz w:val="18"/>
          <w:szCs w:val="18"/>
        </w:rPr>
        <w:t xml:space="preserve"> </w:t>
      </w:r>
      <w:r w:rsidRPr="00717460">
        <w:rPr>
          <w:sz w:val="18"/>
          <w:szCs w:val="18"/>
          <w:lang w:val="en-AU"/>
        </w:rPr>
        <w:t xml:space="preserve">See </w:t>
      </w:r>
      <w:hyperlink r:id="rId49" w:history="1">
        <w:hyperlink r:id="rId50" w:history="1">
          <w:r w:rsidRPr="00DE1224">
            <w:rPr>
              <w:rStyle w:val="Hyperlink"/>
              <w:sz w:val="18"/>
              <w:szCs w:val="18"/>
            </w:rPr>
            <w:t>https://www.ag.gov.au/legal-system/administrative-law/legislation-act-2003</w:t>
          </w:r>
        </w:hyperlink>
      </w:hyperlink>
      <w:r w:rsidRPr="006F2958">
        <w:rPr>
          <w:rStyle w:val="Hyperlink"/>
          <w:color w:val="auto"/>
          <w:sz w:val="18"/>
          <w:szCs w:val="18"/>
        </w:rPr>
        <w:t>.</w:t>
      </w:r>
    </w:p>
  </w:footnote>
  <w:footnote w:id="48">
    <w:p w14:paraId="1A91B3B3" w14:textId="77777777" w:rsidR="00E86304" w:rsidRPr="00717460" w:rsidRDefault="00E86304" w:rsidP="00E86304">
      <w:pPr>
        <w:pStyle w:val="FootnoteText"/>
        <w:rPr>
          <w:sz w:val="18"/>
          <w:szCs w:val="18"/>
          <w:lang w:val="en-AU"/>
        </w:rPr>
      </w:pPr>
      <w:r w:rsidRPr="00717460">
        <w:rPr>
          <w:rStyle w:val="FootnoteReference"/>
          <w:sz w:val="18"/>
          <w:szCs w:val="18"/>
        </w:rPr>
        <w:footnoteRef/>
      </w:r>
      <w:r w:rsidRPr="00717460">
        <w:rPr>
          <w:sz w:val="18"/>
          <w:szCs w:val="18"/>
        </w:rPr>
        <w:t xml:space="preserve"> </w:t>
      </w:r>
      <w:r w:rsidRPr="00717460">
        <w:rPr>
          <w:sz w:val="18"/>
          <w:szCs w:val="18"/>
          <w:lang w:val="en-AU"/>
        </w:rPr>
        <w:t xml:space="preserve">See </w:t>
      </w:r>
      <w:hyperlink r:id="rId51" w:history="1">
        <w:hyperlink r:id="rId52" w:history="1">
          <w:r w:rsidRPr="00DE1224">
            <w:rPr>
              <w:rStyle w:val="Hyperlink"/>
              <w:sz w:val="18"/>
              <w:szCs w:val="18"/>
            </w:rPr>
            <w:t>https://www.ag.gov.au/legal-system/administrative-law/legislation-act-2003</w:t>
          </w:r>
        </w:hyperlink>
      </w:hyperlink>
      <w:r w:rsidRPr="006F2958">
        <w:rPr>
          <w:rStyle w:val="Hyperlink"/>
          <w:color w:val="auto"/>
          <w:sz w:val="18"/>
          <w:szCs w:val="18"/>
        </w:rPr>
        <w:t>.</w:t>
      </w:r>
    </w:p>
  </w:footnote>
  <w:footnote w:id="49">
    <w:p w14:paraId="62A79F2F" w14:textId="77777777" w:rsidR="00E86304" w:rsidRPr="00717460" w:rsidRDefault="00E86304" w:rsidP="00E86304">
      <w:pPr>
        <w:pStyle w:val="FootnoteText"/>
        <w:rPr>
          <w:sz w:val="18"/>
          <w:szCs w:val="18"/>
          <w:lang w:val="en-AU"/>
        </w:rPr>
      </w:pPr>
      <w:r w:rsidRPr="00717460">
        <w:rPr>
          <w:rStyle w:val="FootnoteReference"/>
          <w:sz w:val="18"/>
          <w:szCs w:val="18"/>
        </w:rPr>
        <w:footnoteRef/>
      </w:r>
      <w:r w:rsidRPr="00717460">
        <w:rPr>
          <w:sz w:val="18"/>
          <w:szCs w:val="18"/>
        </w:rPr>
        <w:t xml:space="preserve"> </w:t>
      </w:r>
      <w:r w:rsidRPr="00717460">
        <w:rPr>
          <w:sz w:val="18"/>
          <w:szCs w:val="18"/>
          <w:lang w:val="en-AU"/>
        </w:rPr>
        <w:t xml:space="preserve">See </w:t>
      </w:r>
      <w:hyperlink r:id="rId53" w:history="1">
        <w:hyperlink r:id="rId54" w:history="1">
          <w:r w:rsidRPr="00DE1224">
            <w:rPr>
              <w:rStyle w:val="Hyperlink"/>
              <w:sz w:val="18"/>
              <w:szCs w:val="18"/>
            </w:rPr>
            <w:t>https://www.ag.gov.au/legal-system/administrative-law/legislation-act-2003</w:t>
          </w:r>
        </w:hyperlink>
      </w:hyperlink>
      <w:r w:rsidRPr="006F2958">
        <w:rPr>
          <w:rStyle w:val="Hyperlink"/>
          <w:color w:val="auto"/>
          <w:sz w:val="18"/>
          <w:szCs w:val="18"/>
        </w:rPr>
        <w:t>.</w:t>
      </w:r>
    </w:p>
  </w:footnote>
  <w:footnote w:id="50">
    <w:p w14:paraId="5392C103" w14:textId="77777777" w:rsidR="00E86304" w:rsidRPr="00717460" w:rsidRDefault="00E86304" w:rsidP="00E86304">
      <w:pPr>
        <w:pStyle w:val="FootnoteText"/>
        <w:rPr>
          <w:sz w:val="18"/>
          <w:szCs w:val="18"/>
          <w:lang w:val="en-AU"/>
        </w:rPr>
      </w:pPr>
      <w:r w:rsidRPr="00717460">
        <w:rPr>
          <w:rStyle w:val="FootnoteReference"/>
          <w:sz w:val="18"/>
          <w:szCs w:val="18"/>
        </w:rPr>
        <w:footnoteRef/>
      </w:r>
      <w:r w:rsidRPr="00717460">
        <w:rPr>
          <w:sz w:val="18"/>
          <w:szCs w:val="18"/>
        </w:rPr>
        <w:t xml:space="preserve"> </w:t>
      </w:r>
      <w:r w:rsidRPr="00717460">
        <w:rPr>
          <w:sz w:val="18"/>
          <w:szCs w:val="18"/>
          <w:lang w:val="en-AU"/>
        </w:rPr>
        <w:t xml:space="preserve">See </w:t>
      </w:r>
      <w:hyperlink r:id="rId55" w:history="1">
        <w:hyperlink r:id="rId56" w:history="1">
          <w:r w:rsidRPr="00DE1224">
            <w:rPr>
              <w:rStyle w:val="Hyperlink"/>
              <w:sz w:val="18"/>
              <w:szCs w:val="18"/>
              <w:lang w:val="en-AU"/>
            </w:rPr>
            <w:t>https://www.pmc.gov.au/resources/tabling-guidelines</w:t>
          </w:r>
        </w:hyperlink>
      </w:hyperlink>
      <w:r w:rsidRPr="006F2958">
        <w:rPr>
          <w:rStyle w:val="Hyperlink"/>
          <w:color w:val="auto"/>
          <w:sz w:val="18"/>
          <w:szCs w:val="18"/>
        </w:rPr>
        <w:t>.</w:t>
      </w:r>
    </w:p>
  </w:footnote>
  <w:footnote w:id="51">
    <w:p w14:paraId="4003825B" w14:textId="77777777" w:rsidR="00E86304" w:rsidRPr="00717460" w:rsidRDefault="00E86304" w:rsidP="00E86304">
      <w:pPr>
        <w:pStyle w:val="FootnoteText"/>
        <w:rPr>
          <w:sz w:val="18"/>
          <w:szCs w:val="18"/>
          <w:lang w:val="en-AU"/>
        </w:rPr>
      </w:pPr>
      <w:r w:rsidRPr="00717460">
        <w:rPr>
          <w:rStyle w:val="FootnoteReference"/>
          <w:sz w:val="18"/>
          <w:szCs w:val="18"/>
        </w:rPr>
        <w:footnoteRef/>
      </w:r>
      <w:r w:rsidRPr="00717460">
        <w:rPr>
          <w:sz w:val="18"/>
          <w:szCs w:val="18"/>
        </w:rPr>
        <w:t xml:space="preserve"> </w:t>
      </w:r>
      <w:r w:rsidRPr="00717460">
        <w:rPr>
          <w:sz w:val="18"/>
          <w:szCs w:val="18"/>
          <w:lang w:val="en-AU"/>
        </w:rPr>
        <w:t xml:space="preserve">See </w:t>
      </w:r>
      <w:hyperlink r:id="rId57" w:history="1">
        <w:r w:rsidRPr="00DE1224">
          <w:rPr>
            <w:rStyle w:val="Hyperlink"/>
            <w:sz w:val="18"/>
            <w:szCs w:val="18"/>
          </w:rPr>
          <w:t>OPC’s Instrument Drafting Guidance Note No. 1.4 Timeframes for the development of instruments</w:t>
        </w:r>
      </w:hyperlink>
      <w:r w:rsidRPr="00DE1224">
        <w:rPr>
          <w:sz w:val="18"/>
          <w:szCs w:val="18"/>
          <w:lang w:val="en-AU"/>
        </w:rPr>
        <w:t>.</w:t>
      </w:r>
    </w:p>
  </w:footnote>
  <w:footnote w:id="52">
    <w:p w14:paraId="61ACB6F9" w14:textId="77777777" w:rsidR="00E86304" w:rsidRPr="00717460" w:rsidRDefault="00E86304" w:rsidP="00E86304">
      <w:pPr>
        <w:pStyle w:val="FootnoteText"/>
        <w:rPr>
          <w:sz w:val="18"/>
          <w:szCs w:val="18"/>
          <w:lang w:val="en-AU"/>
        </w:rPr>
      </w:pPr>
      <w:r w:rsidRPr="00717460">
        <w:rPr>
          <w:rStyle w:val="FootnoteReference"/>
          <w:sz w:val="18"/>
          <w:szCs w:val="18"/>
        </w:rPr>
        <w:footnoteRef/>
      </w:r>
      <w:r w:rsidRPr="00717460">
        <w:rPr>
          <w:sz w:val="18"/>
          <w:szCs w:val="18"/>
        </w:rPr>
        <w:t xml:space="preserve"> </w:t>
      </w:r>
      <w:r w:rsidRPr="00717460">
        <w:rPr>
          <w:sz w:val="18"/>
          <w:szCs w:val="18"/>
          <w:lang w:val="en-AU"/>
        </w:rPr>
        <w:t xml:space="preserve">See </w:t>
      </w:r>
      <w:hyperlink r:id="rId58" w:history="1">
        <w:hyperlink r:id="rId59" w:history="1">
          <w:r w:rsidRPr="00DE1224">
            <w:rPr>
              <w:rStyle w:val="Hyperlink"/>
              <w:sz w:val="18"/>
              <w:szCs w:val="18"/>
            </w:rPr>
            <w:t>https://www.pmc.gov.au/resources/legislation-handbook</w:t>
          </w:r>
        </w:hyperlink>
      </w:hyperlink>
      <w:r w:rsidRPr="006F2958">
        <w:rPr>
          <w:rStyle w:val="Hyperlink"/>
          <w:color w:val="auto"/>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4EEC0" w14:textId="77777777" w:rsidR="00E86304" w:rsidRDefault="00E86304" w:rsidP="00954645">
    <w:pPr>
      <w:pStyle w:val="Header"/>
      <w:spacing w:before="60" w:after="60"/>
      <w:rPr>
        <w:sz w:val="20"/>
      </w:rPr>
    </w:pPr>
    <w:r w:rsidRPr="00A22B61">
      <w:rPr>
        <w:b/>
        <w:sz w:val="20"/>
      </w:rPr>
      <w:t>Part 1</w:t>
    </w:r>
    <w:r>
      <w:rPr>
        <w:sz w:val="20"/>
      </w:rPr>
      <w:t xml:space="preserve">  Matters relevant to all instruments</w:t>
    </w:r>
  </w:p>
  <w:p w14:paraId="40E82566" w14:textId="77777777" w:rsidR="00E86304" w:rsidRDefault="00E86304" w:rsidP="00954645">
    <w:pPr>
      <w:pStyle w:val="Header"/>
      <w:spacing w:before="60" w:after="60"/>
      <w:rPr>
        <w:sz w:val="20"/>
      </w:rPr>
    </w:pPr>
    <w:r>
      <w:rPr>
        <w:sz w:val="20"/>
      </w:rPr>
      <w:t xml:space="preserve">  </w:t>
    </w:r>
  </w:p>
  <w:p w14:paraId="24EF983E" w14:textId="77777777" w:rsidR="00E86304" w:rsidRPr="0063421B" w:rsidRDefault="00E86304" w:rsidP="00746EB4">
    <w:pPr>
      <w:pBdr>
        <w:bottom w:val="single" w:sz="6" w:space="1" w:color="auto"/>
      </w:pBdr>
      <w:spacing w:after="280"/>
      <w:rPr>
        <w:sz w:val="20"/>
      </w:rPr>
    </w:pPr>
    <w:r w:rsidRPr="00A22B61">
      <w:rPr>
        <w:b/>
        <w:sz w:val="20"/>
      </w:rPr>
      <w:t>Chapter 1</w:t>
    </w:r>
    <w:r>
      <w:rPr>
        <w:sz w:val="20"/>
      </w:rPr>
      <w:t xml:space="preserve">  Introduction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E65E8" w14:textId="77777777" w:rsidR="00E86304" w:rsidRDefault="00E86304" w:rsidP="00954645">
    <w:pPr>
      <w:pStyle w:val="Header"/>
      <w:spacing w:before="60" w:after="60"/>
      <w:rPr>
        <w:sz w:val="20"/>
      </w:rPr>
    </w:pPr>
    <w:r w:rsidRPr="00A22B61">
      <w:rPr>
        <w:b/>
        <w:sz w:val="20"/>
      </w:rPr>
      <w:t>Part 1</w:t>
    </w:r>
    <w:r>
      <w:rPr>
        <w:sz w:val="20"/>
      </w:rPr>
      <w:t xml:space="preserve">  Matters relevant to all instruments</w:t>
    </w:r>
  </w:p>
  <w:p w14:paraId="6F085FFA" w14:textId="77777777" w:rsidR="00E86304" w:rsidRDefault="00E86304" w:rsidP="00954645">
    <w:pPr>
      <w:pStyle w:val="Header"/>
      <w:spacing w:before="60" w:after="60"/>
      <w:rPr>
        <w:sz w:val="20"/>
      </w:rPr>
    </w:pPr>
    <w:r>
      <w:rPr>
        <w:sz w:val="20"/>
      </w:rPr>
      <w:t xml:space="preserve">  </w:t>
    </w:r>
  </w:p>
  <w:p w14:paraId="2F56ECD6" w14:textId="77777777" w:rsidR="00E86304" w:rsidRPr="0063421B" w:rsidRDefault="00E86304" w:rsidP="00746EB4">
    <w:pPr>
      <w:pBdr>
        <w:bottom w:val="single" w:sz="6" w:space="1" w:color="auto"/>
      </w:pBdr>
      <w:spacing w:after="280"/>
      <w:rPr>
        <w:sz w:val="20"/>
      </w:rPr>
    </w:pPr>
    <w:r w:rsidRPr="00A22B61">
      <w:rPr>
        <w:b/>
        <w:sz w:val="20"/>
      </w:rPr>
      <w:t xml:space="preserve">Chapter </w:t>
    </w:r>
    <w:r>
      <w:rPr>
        <w:b/>
        <w:sz w:val="20"/>
      </w:rPr>
      <w:t>2</w:t>
    </w:r>
    <w:r>
      <w:rPr>
        <w:sz w:val="20"/>
      </w:rPr>
      <w:t xml:space="preserve">  Key concepts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67988" w14:textId="77777777" w:rsidR="00E86304" w:rsidRDefault="00E86304" w:rsidP="00110834">
    <w:pPr>
      <w:pStyle w:val="Header"/>
      <w:spacing w:before="60" w:after="60"/>
      <w:rPr>
        <w:sz w:val="20"/>
      </w:rPr>
    </w:pPr>
    <w:r w:rsidRPr="00A22B61">
      <w:rPr>
        <w:b/>
        <w:sz w:val="20"/>
      </w:rPr>
      <w:t>Part 1</w:t>
    </w:r>
    <w:r>
      <w:rPr>
        <w:sz w:val="20"/>
      </w:rPr>
      <w:t xml:space="preserve">  Matters relevant to all instruments</w:t>
    </w:r>
  </w:p>
  <w:p w14:paraId="7E71516F" w14:textId="77777777" w:rsidR="00E86304" w:rsidRDefault="00E86304" w:rsidP="00110834">
    <w:pPr>
      <w:pStyle w:val="Header"/>
      <w:spacing w:before="60" w:after="60"/>
      <w:rPr>
        <w:sz w:val="20"/>
      </w:rPr>
    </w:pPr>
    <w:r>
      <w:rPr>
        <w:sz w:val="20"/>
      </w:rPr>
      <w:t xml:space="preserve">  </w:t>
    </w:r>
  </w:p>
  <w:p w14:paraId="5C4E1944" w14:textId="77777777" w:rsidR="00E86304" w:rsidRPr="0063421B" w:rsidRDefault="00E86304" w:rsidP="006B01B4">
    <w:pPr>
      <w:pBdr>
        <w:bottom w:val="single" w:sz="6" w:space="1" w:color="auto"/>
      </w:pBdr>
      <w:spacing w:after="280"/>
      <w:rPr>
        <w:sz w:val="20"/>
      </w:rPr>
    </w:pPr>
    <w:r w:rsidRPr="00A22B61">
      <w:rPr>
        <w:b/>
        <w:sz w:val="20"/>
      </w:rPr>
      <w:t xml:space="preserve">Chapter </w:t>
    </w:r>
    <w:r>
      <w:rPr>
        <w:b/>
        <w:sz w:val="20"/>
      </w:rPr>
      <w:t>3</w:t>
    </w:r>
    <w:r>
      <w:rPr>
        <w:sz w:val="20"/>
      </w:rPr>
      <w:t xml:space="preserve">  Drafting and interpretation of instruments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39EE6" w14:textId="77777777" w:rsidR="00E86304" w:rsidRDefault="00E86304" w:rsidP="00D82E2F">
    <w:pPr>
      <w:pStyle w:val="Header"/>
      <w:spacing w:before="60" w:after="60"/>
      <w:rPr>
        <w:sz w:val="20"/>
      </w:rPr>
    </w:pPr>
    <w:r w:rsidRPr="00A22B61">
      <w:rPr>
        <w:b/>
        <w:sz w:val="20"/>
      </w:rPr>
      <w:t>Part 1</w:t>
    </w:r>
    <w:r>
      <w:rPr>
        <w:sz w:val="20"/>
      </w:rPr>
      <w:t xml:space="preserve">  Matters relevant to all instruments</w:t>
    </w:r>
  </w:p>
  <w:p w14:paraId="22C39335" w14:textId="77777777" w:rsidR="00E86304" w:rsidRDefault="00E86304" w:rsidP="00D82E2F">
    <w:pPr>
      <w:pStyle w:val="Header"/>
      <w:spacing w:before="60" w:after="60"/>
      <w:rPr>
        <w:sz w:val="20"/>
      </w:rPr>
    </w:pPr>
    <w:r>
      <w:rPr>
        <w:sz w:val="20"/>
      </w:rPr>
      <w:t xml:space="preserve">  </w:t>
    </w:r>
  </w:p>
  <w:p w14:paraId="43F30DD4" w14:textId="77777777" w:rsidR="00E86304" w:rsidRPr="00AE03D3" w:rsidRDefault="00E86304" w:rsidP="003A3A09">
    <w:pPr>
      <w:pBdr>
        <w:bottom w:val="single" w:sz="6" w:space="1" w:color="auto"/>
      </w:pBdr>
      <w:spacing w:after="120"/>
      <w:rPr>
        <w:sz w:val="20"/>
      </w:rPr>
    </w:pPr>
    <w:r w:rsidRPr="00A22B61">
      <w:rPr>
        <w:b/>
        <w:sz w:val="20"/>
      </w:rPr>
      <w:t xml:space="preserve">Chapter </w:t>
    </w:r>
    <w:r>
      <w:rPr>
        <w:b/>
        <w:sz w:val="20"/>
      </w:rPr>
      <w:t>4</w:t>
    </w:r>
    <w:r>
      <w:rPr>
        <w:sz w:val="20"/>
      </w:rPr>
      <w:t xml:space="preserve">  Lodgement and registration of instruments</w:t>
    </w:r>
  </w:p>
  <w:p w14:paraId="5E6669FC" w14:textId="77777777" w:rsidR="00E86304" w:rsidRPr="0063421B" w:rsidRDefault="00E86304" w:rsidP="00D82E2F">
    <w:pPr>
      <w:pStyle w:val="Header"/>
      <w:spacing w:before="60" w:after="60"/>
      <w:rPr>
        <w:sz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B35EF" w14:textId="77777777" w:rsidR="00E86304" w:rsidRDefault="00E86304" w:rsidP="00D82E2F">
    <w:pPr>
      <w:pStyle w:val="Header"/>
      <w:spacing w:before="60" w:after="60"/>
      <w:rPr>
        <w:sz w:val="20"/>
      </w:rPr>
    </w:pPr>
    <w:r w:rsidRPr="00A22B61">
      <w:rPr>
        <w:b/>
        <w:sz w:val="20"/>
      </w:rPr>
      <w:t>Part 1</w:t>
    </w:r>
    <w:r>
      <w:rPr>
        <w:sz w:val="20"/>
      </w:rPr>
      <w:t xml:space="preserve">  Matters relevant to all instruments</w:t>
    </w:r>
  </w:p>
  <w:p w14:paraId="52F10776" w14:textId="77777777" w:rsidR="00E86304" w:rsidRDefault="00E86304" w:rsidP="00D82E2F">
    <w:pPr>
      <w:pStyle w:val="Header"/>
      <w:spacing w:before="60" w:after="60"/>
      <w:rPr>
        <w:sz w:val="20"/>
      </w:rPr>
    </w:pPr>
    <w:r>
      <w:rPr>
        <w:sz w:val="20"/>
      </w:rPr>
      <w:t xml:space="preserve">  </w:t>
    </w:r>
  </w:p>
  <w:p w14:paraId="03B81A9B" w14:textId="77777777" w:rsidR="00E86304" w:rsidRPr="00F22156" w:rsidRDefault="00E86304" w:rsidP="00F22156">
    <w:pPr>
      <w:pBdr>
        <w:bottom w:val="single" w:sz="6" w:space="1" w:color="auto"/>
      </w:pBdr>
      <w:spacing w:after="280"/>
    </w:pPr>
    <w:r w:rsidRPr="00A22B61">
      <w:rPr>
        <w:b/>
        <w:sz w:val="20"/>
      </w:rPr>
      <w:t xml:space="preserve">Chapter </w:t>
    </w:r>
    <w:r>
      <w:rPr>
        <w:b/>
        <w:sz w:val="20"/>
      </w:rPr>
      <w:t>5</w:t>
    </w:r>
    <w:r>
      <w:rPr>
        <w:sz w:val="20"/>
      </w:rPr>
      <w:t xml:space="preserve">  Keeping the Register up to date</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B04B3" w14:textId="77777777" w:rsidR="00E86304" w:rsidRDefault="00E86304" w:rsidP="009F37AF">
    <w:pPr>
      <w:pStyle w:val="Header"/>
      <w:spacing w:before="60" w:after="60"/>
      <w:rPr>
        <w:sz w:val="20"/>
      </w:rPr>
    </w:pPr>
    <w:r w:rsidRPr="00A22B61">
      <w:rPr>
        <w:b/>
        <w:sz w:val="20"/>
      </w:rPr>
      <w:t xml:space="preserve">Part </w:t>
    </w:r>
    <w:r>
      <w:rPr>
        <w:b/>
        <w:sz w:val="20"/>
      </w:rPr>
      <w:t>2</w:t>
    </w:r>
    <w:r>
      <w:rPr>
        <w:sz w:val="20"/>
      </w:rPr>
      <w:t xml:space="preserve">  Matters specific to legislative instruments</w:t>
    </w:r>
  </w:p>
  <w:p w14:paraId="218023DE" w14:textId="77777777" w:rsidR="00E86304" w:rsidRDefault="00E86304" w:rsidP="009F37AF">
    <w:pPr>
      <w:pStyle w:val="Header"/>
      <w:spacing w:before="60" w:after="60"/>
      <w:rPr>
        <w:sz w:val="20"/>
      </w:rPr>
    </w:pPr>
    <w:r>
      <w:rPr>
        <w:sz w:val="20"/>
      </w:rPr>
      <w:t xml:space="preserve">  </w:t>
    </w:r>
  </w:p>
  <w:p w14:paraId="4BECB126" w14:textId="77777777" w:rsidR="00E86304" w:rsidRPr="00F22156" w:rsidRDefault="00E86304" w:rsidP="00F22156">
    <w:pPr>
      <w:pBdr>
        <w:bottom w:val="single" w:sz="6" w:space="1" w:color="auto"/>
      </w:pBdr>
      <w:spacing w:after="280"/>
    </w:pPr>
    <w:r w:rsidRPr="00A22B61">
      <w:rPr>
        <w:b/>
        <w:sz w:val="20"/>
      </w:rPr>
      <w:t xml:space="preserve">Chapter </w:t>
    </w:r>
    <w:r>
      <w:rPr>
        <w:b/>
        <w:sz w:val="20"/>
      </w:rPr>
      <w:t>6</w:t>
    </w:r>
    <w:r>
      <w:rPr>
        <w:sz w:val="20"/>
      </w:rPr>
      <w:t xml:space="preserve">  Before making a legislative instrument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B99C2" w14:textId="77777777" w:rsidR="00E86304" w:rsidRDefault="00E86304" w:rsidP="009F37AF">
    <w:pPr>
      <w:pStyle w:val="Header"/>
      <w:spacing w:before="60" w:after="60"/>
      <w:rPr>
        <w:sz w:val="20"/>
      </w:rPr>
    </w:pPr>
    <w:r w:rsidRPr="00A22B61">
      <w:rPr>
        <w:b/>
        <w:sz w:val="20"/>
      </w:rPr>
      <w:t xml:space="preserve">Part </w:t>
    </w:r>
    <w:r>
      <w:rPr>
        <w:b/>
        <w:sz w:val="20"/>
      </w:rPr>
      <w:t>2</w:t>
    </w:r>
    <w:r>
      <w:rPr>
        <w:sz w:val="20"/>
      </w:rPr>
      <w:t xml:space="preserve">  Matters specific to legislative instruments</w:t>
    </w:r>
  </w:p>
  <w:p w14:paraId="05767C13" w14:textId="77777777" w:rsidR="00E86304" w:rsidRDefault="00E86304" w:rsidP="009F37AF">
    <w:pPr>
      <w:pStyle w:val="Header"/>
      <w:spacing w:before="60" w:after="60"/>
      <w:rPr>
        <w:sz w:val="20"/>
      </w:rPr>
    </w:pPr>
    <w:r>
      <w:rPr>
        <w:sz w:val="20"/>
      </w:rPr>
      <w:t xml:space="preserve">  </w:t>
    </w:r>
  </w:p>
  <w:p w14:paraId="2D829B27" w14:textId="77777777" w:rsidR="00E86304" w:rsidRPr="00F22156" w:rsidRDefault="00E86304" w:rsidP="00F22156">
    <w:pPr>
      <w:pBdr>
        <w:bottom w:val="single" w:sz="6" w:space="1" w:color="auto"/>
      </w:pBdr>
      <w:spacing w:after="280"/>
    </w:pPr>
    <w:r w:rsidRPr="00A22B61">
      <w:rPr>
        <w:b/>
        <w:sz w:val="20"/>
      </w:rPr>
      <w:t xml:space="preserve">Chapter </w:t>
    </w:r>
    <w:r>
      <w:rPr>
        <w:b/>
        <w:sz w:val="20"/>
      </w:rPr>
      <w:t>7</w:t>
    </w:r>
    <w:r>
      <w:rPr>
        <w:sz w:val="20"/>
      </w:rPr>
      <w:t xml:space="preserve">  Explanatory statements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134E4" w14:textId="77777777" w:rsidR="00E86304" w:rsidRDefault="00E86304" w:rsidP="009F37AF">
    <w:pPr>
      <w:pStyle w:val="Header"/>
      <w:spacing w:before="60" w:after="60"/>
      <w:rPr>
        <w:sz w:val="20"/>
      </w:rPr>
    </w:pPr>
    <w:r w:rsidRPr="00A22B61">
      <w:rPr>
        <w:b/>
        <w:sz w:val="20"/>
      </w:rPr>
      <w:t xml:space="preserve">Part </w:t>
    </w:r>
    <w:r>
      <w:rPr>
        <w:b/>
        <w:sz w:val="20"/>
      </w:rPr>
      <w:t>2</w:t>
    </w:r>
    <w:r>
      <w:rPr>
        <w:sz w:val="20"/>
      </w:rPr>
      <w:t xml:space="preserve">  Matters specific to legislative instruments</w:t>
    </w:r>
  </w:p>
  <w:p w14:paraId="6176CE71" w14:textId="77777777" w:rsidR="00E86304" w:rsidRDefault="00E86304" w:rsidP="009F37AF">
    <w:pPr>
      <w:pStyle w:val="Header"/>
      <w:spacing w:before="60" w:after="60"/>
      <w:rPr>
        <w:sz w:val="20"/>
      </w:rPr>
    </w:pPr>
    <w:r>
      <w:rPr>
        <w:sz w:val="20"/>
      </w:rPr>
      <w:t xml:space="preserve">  </w:t>
    </w:r>
  </w:p>
  <w:p w14:paraId="25DAA70F" w14:textId="77777777" w:rsidR="00E86304" w:rsidRPr="00F22156" w:rsidRDefault="00E86304" w:rsidP="00F22156">
    <w:pPr>
      <w:pBdr>
        <w:bottom w:val="single" w:sz="6" w:space="1" w:color="auto"/>
      </w:pBdr>
      <w:spacing w:after="280"/>
    </w:pPr>
    <w:r w:rsidRPr="00A22B61">
      <w:rPr>
        <w:b/>
        <w:sz w:val="20"/>
      </w:rPr>
      <w:t xml:space="preserve">Chapter </w:t>
    </w:r>
    <w:r>
      <w:rPr>
        <w:b/>
        <w:sz w:val="20"/>
      </w:rPr>
      <w:t>8</w:t>
    </w:r>
    <w:r>
      <w:rPr>
        <w:sz w:val="20"/>
      </w:rPr>
      <w:t xml:space="preserve">  Parliamentary scrutiny (disallowance) processes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598CC" w14:textId="77777777" w:rsidR="00E86304" w:rsidRDefault="00E86304" w:rsidP="00AD6EAA">
    <w:pPr>
      <w:pStyle w:val="Header"/>
      <w:spacing w:before="60" w:after="60"/>
      <w:rPr>
        <w:sz w:val="20"/>
      </w:rPr>
    </w:pPr>
    <w:r w:rsidRPr="00A22B61">
      <w:rPr>
        <w:b/>
        <w:sz w:val="20"/>
      </w:rPr>
      <w:t xml:space="preserve">Part </w:t>
    </w:r>
    <w:r>
      <w:rPr>
        <w:b/>
        <w:sz w:val="20"/>
      </w:rPr>
      <w:t>2</w:t>
    </w:r>
    <w:r>
      <w:rPr>
        <w:sz w:val="20"/>
      </w:rPr>
      <w:t xml:space="preserve">  Matters specific to legislative instruments</w:t>
    </w:r>
  </w:p>
  <w:p w14:paraId="7C339004" w14:textId="77777777" w:rsidR="00E86304" w:rsidRDefault="00E86304" w:rsidP="00AD6EAA">
    <w:pPr>
      <w:pStyle w:val="Header"/>
      <w:spacing w:before="60" w:after="60"/>
      <w:rPr>
        <w:sz w:val="20"/>
      </w:rPr>
    </w:pPr>
    <w:r>
      <w:rPr>
        <w:sz w:val="20"/>
      </w:rPr>
      <w:t xml:space="preserve">  </w:t>
    </w:r>
  </w:p>
  <w:p w14:paraId="6128D559" w14:textId="77777777" w:rsidR="00E86304" w:rsidRPr="00F22156" w:rsidRDefault="00E86304" w:rsidP="00F22156">
    <w:pPr>
      <w:pBdr>
        <w:bottom w:val="single" w:sz="6" w:space="1" w:color="auto"/>
      </w:pBdr>
      <w:spacing w:after="280"/>
    </w:pPr>
    <w:r w:rsidRPr="00A22B61">
      <w:rPr>
        <w:b/>
        <w:sz w:val="20"/>
      </w:rPr>
      <w:t xml:space="preserve">Chapter </w:t>
    </w:r>
    <w:r>
      <w:rPr>
        <w:b/>
        <w:sz w:val="20"/>
      </w:rPr>
      <w:t>9</w:t>
    </w:r>
    <w:r>
      <w:rPr>
        <w:sz w:val="20"/>
      </w:rPr>
      <w:t xml:space="preserve">  Sunsetting</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E873F" w14:textId="77777777" w:rsidR="00E86304" w:rsidRDefault="00E86304" w:rsidP="00AD6EAA">
    <w:pPr>
      <w:pStyle w:val="Header"/>
      <w:spacing w:before="60" w:after="60"/>
      <w:rPr>
        <w:sz w:val="20"/>
      </w:rPr>
    </w:pPr>
    <w:r>
      <w:rPr>
        <w:b/>
        <w:sz w:val="20"/>
      </w:rPr>
      <w:t>Appendix A</w:t>
    </w:r>
    <w:r>
      <w:rPr>
        <w:sz w:val="20"/>
      </w:rPr>
      <w:t xml:space="preserve">  Sunsetting Checklist</w:t>
    </w:r>
  </w:p>
  <w:p w14:paraId="0437671D" w14:textId="77777777" w:rsidR="00E86304" w:rsidRPr="0063421B" w:rsidRDefault="00E86304" w:rsidP="009349CD">
    <w:pPr>
      <w:pBdr>
        <w:bottom w:val="single" w:sz="6" w:space="1" w:color="auto"/>
      </w:pBdr>
      <w:spacing w:after="280"/>
      <w:rPr>
        <w:sz w:val="20"/>
      </w:rPr>
    </w:pPr>
    <w:r>
      <w:rPr>
        <w:sz w:val="20"/>
      </w:rPr>
      <w:t xml:space="preserve">  </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C1904" w14:textId="77777777" w:rsidR="00E86304" w:rsidRDefault="00E86304" w:rsidP="00AD6EAA">
    <w:pPr>
      <w:pStyle w:val="Header"/>
      <w:spacing w:before="60" w:after="60"/>
      <w:rPr>
        <w:sz w:val="20"/>
      </w:rPr>
    </w:pPr>
    <w:r>
      <w:rPr>
        <w:b/>
        <w:sz w:val="20"/>
      </w:rPr>
      <w:t>Further reading</w:t>
    </w:r>
  </w:p>
  <w:p w14:paraId="4F48B579" w14:textId="77777777" w:rsidR="00E86304" w:rsidRPr="0063421B" w:rsidRDefault="00E86304" w:rsidP="00F22156">
    <w:pPr>
      <w:pBdr>
        <w:bottom w:val="single" w:sz="6" w:space="1" w:color="auto"/>
      </w:pBdr>
      <w:spacing w:after="280"/>
      <w:rPr>
        <w:sz w:val="20"/>
      </w:rPr>
    </w:pPr>
    <w:r>
      <w:rPr>
        <w:sz w:val="20"/>
      </w:rPr>
      <w:t xml:space="preserve">  </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44364" w14:textId="77777777" w:rsidR="00E86304" w:rsidRDefault="00E86304" w:rsidP="00AD6EAA">
    <w:pPr>
      <w:pStyle w:val="Header"/>
      <w:spacing w:before="60" w:after="60"/>
      <w:rPr>
        <w:sz w:val="20"/>
      </w:rPr>
    </w:pPr>
    <w:r>
      <w:rPr>
        <w:b/>
        <w:sz w:val="20"/>
      </w:rPr>
      <w:t>Useful contacts</w:t>
    </w:r>
  </w:p>
  <w:p w14:paraId="1B9A02C3" w14:textId="77777777" w:rsidR="00E86304" w:rsidRPr="0063421B" w:rsidRDefault="00E86304" w:rsidP="00F22156">
    <w:pPr>
      <w:pBdr>
        <w:bottom w:val="single" w:sz="6" w:space="1" w:color="auto"/>
      </w:pBdr>
      <w:spacing w:after="280"/>
      <w:rPr>
        <w:sz w:val="20"/>
      </w:rPr>
    </w:pPr>
    <w:r>
      <w:rPr>
        <w:sz w:val="20"/>
      </w:rPr>
      <w:t xml:space="preserve">  </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5BFCA" w14:textId="77777777" w:rsidR="00E86304" w:rsidRDefault="00E86304" w:rsidP="00D9016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0CF37" w14:textId="77777777" w:rsidR="00E86304" w:rsidRDefault="00E86304" w:rsidP="009F37AF">
    <w:pPr>
      <w:pStyle w:val="Header"/>
      <w:spacing w:before="60" w:after="60"/>
      <w:rPr>
        <w:sz w:val="20"/>
      </w:rPr>
    </w:pPr>
    <w:r>
      <w:rPr>
        <w:b/>
        <w:sz w:val="20"/>
      </w:rPr>
      <w:t>Abbreviation key</w:t>
    </w:r>
  </w:p>
  <w:p w14:paraId="753A51C9" w14:textId="77777777" w:rsidR="00E86304" w:rsidRPr="0063421B" w:rsidRDefault="00E86304" w:rsidP="00807876">
    <w:pPr>
      <w:pBdr>
        <w:bottom w:val="single" w:sz="6" w:space="1" w:color="auto"/>
      </w:pBdr>
      <w:spacing w:after="280"/>
      <w:rPr>
        <w:sz w:val="20"/>
      </w:rPr>
    </w:pPr>
    <w:r>
      <w:rPr>
        <w:sz w:val="20"/>
      </w:rPr>
      <w:t xml:space="preserve">  </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05825" w14:textId="0740D285" w:rsidR="00F02267" w:rsidRDefault="00F02267" w:rsidP="00AD6EAA">
    <w:pPr>
      <w:pStyle w:val="Header"/>
      <w:spacing w:before="60" w:after="60"/>
      <w:rPr>
        <w:sz w:val="20"/>
      </w:rPr>
    </w:pPr>
    <w:r>
      <w:rPr>
        <w:b/>
        <w:sz w:val="20"/>
      </w:rPr>
      <w:t>Document history</w:t>
    </w:r>
  </w:p>
  <w:p w14:paraId="77D28271" w14:textId="4A53C409" w:rsidR="00F02267" w:rsidRPr="0063421B" w:rsidRDefault="00F02267" w:rsidP="00F22156">
    <w:pPr>
      <w:pBdr>
        <w:bottom w:val="single" w:sz="6" w:space="1" w:color="auto"/>
      </w:pBdr>
      <w:spacing w:after="280"/>
      <w:rPr>
        <w:sz w:val="20"/>
      </w:rPr>
    </w:pPr>
    <w:r>
      <w:rPr>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B26D23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D9085E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4161A8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946A60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D486AB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694F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4A275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8"/>
    <w:multiLevelType w:val="singleLevel"/>
    <w:tmpl w:val="A72821E0"/>
    <w:lvl w:ilvl="0">
      <w:start w:val="1"/>
      <w:numFmt w:val="decimal"/>
      <w:lvlText w:val="%1."/>
      <w:lvlJc w:val="left"/>
      <w:pPr>
        <w:tabs>
          <w:tab w:val="num" w:pos="360"/>
        </w:tabs>
        <w:ind w:left="360" w:hanging="360"/>
      </w:pPr>
    </w:lvl>
  </w:abstractNum>
  <w:abstractNum w:abstractNumId="8" w15:restartNumberingAfterBreak="0">
    <w:nsid w:val="1B03710E"/>
    <w:multiLevelType w:val="multilevel"/>
    <w:tmpl w:val="6F7076BC"/>
    <w:styleLink w:val="OPCBodyList"/>
    <w:lvl w:ilvl="0">
      <w:start w:val="1"/>
      <w:numFmt w:val="decimal"/>
      <w:pStyle w:val="BodyNum"/>
      <w:lvlText w:val="%1"/>
      <w:lvlJc w:val="left"/>
      <w:pPr>
        <w:tabs>
          <w:tab w:val="num" w:pos="720"/>
        </w:tabs>
        <w:ind w:left="0" w:firstLine="0"/>
      </w:pPr>
      <w:rPr>
        <w:rFonts w:hint="default"/>
      </w:rPr>
    </w:lvl>
    <w:lvl w:ilvl="1">
      <w:start w:val="1"/>
      <w:numFmt w:val="lowerLetter"/>
      <w:pStyle w:val="BodyPara"/>
      <w:lvlText w:val="(%2)"/>
      <w:lvlJc w:val="left"/>
      <w:pPr>
        <w:tabs>
          <w:tab w:val="num" w:pos="1440"/>
        </w:tabs>
        <w:ind w:left="1440" w:hanging="720"/>
      </w:pPr>
      <w:rPr>
        <w:rFonts w:hint="default"/>
      </w:rPr>
    </w:lvl>
    <w:lvl w:ilvl="2">
      <w:start w:val="1"/>
      <w:numFmt w:val="bullet"/>
      <w:pStyle w:val="BodyParaBullet"/>
      <w:lvlText w:val=""/>
      <w:lvlJc w:val="left"/>
      <w:pPr>
        <w:tabs>
          <w:tab w:val="num" w:pos="1440"/>
        </w:tabs>
        <w:ind w:left="1440" w:hanging="720"/>
      </w:pPr>
      <w:rPr>
        <w:rFonts w:ascii="Symbol" w:hAnsi="Symbol" w:hint="default"/>
      </w:rPr>
    </w:lvl>
    <w:lvl w:ilvl="3">
      <w:start w:val="1"/>
      <w:numFmt w:val="lowerRoman"/>
      <w:pStyle w:val="BodySubPara"/>
      <w:lvlText w:val="(%4)"/>
      <w:lvlJc w:val="left"/>
      <w:pPr>
        <w:tabs>
          <w:tab w:val="num" w:pos="2160"/>
        </w:tabs>
        <w:ind w:left="2160" w:hanging="72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1F4F4ED9"/>
    <w:multiLevelType w:val="hybridMultilevel"/>
    <w:tmpl w:val="12409252"/>
    <w:name w:val="hd6"/>
    <w:lvl w:ilvl="0" w:tplc="5A143636">
      <w:start w:val="1"/>
      <w:numFmt w:val="bullet"/>
      <w:lvlText w:val=""/>
      <w:lvlJc w:val="left"/>
      <w:pPr>
        <w:tabs>
          <w:tab w:val="num" w:pos="1440"/>
        </w:tabs>
        <w:ind w:left="1440" w:hanging="360"/>
      </w:pPr>
      <w:rPr>
        <w:rFonts w:ascii="Wingdings" w:hAnsi="Wingdings" w:hint="default"/>
        <w:b w:val="0"/>
        <w:i w:val="0"/>
        <w:sz w:val="24"/>
        <w:szCs w:val="24"/>
      </w:rPr>
    </w:lvl>
    <w:lvl w:ilvl="1" w:tplc="DD9A1C86">
      <w:start w:val="1"/>
      <w:numFmt w:val="bullet"/>
      <w:lvlText w:val=""/>
      <w:lvlJc w:val="left"/>
      <w:pPr>
        <w:tabs>
          <w:tab w:val="num" w:pos="796"/>
        </w:tabs>
        <w:ind w:left="1647" w:hanging="567"/>
      </w:pPr>
      <w:rPr>
        <w:rFonts w:ascii="Symbol" w:hAnsi="Symbol" w:hint="default"/>
        <w:b w:val="0"/>
        <w:i w:val="0"/>
        <w:sz w:val="20"/>
        <w:szCs w:val="20"/>
      </w:rPr>
    </w:lvl>
    <w:lvl w:ilvl="2" w:tplc="0C09000F">
      <w:start w:val="1"/>
      <w:numFmt w:val="decimal"/>
      <w:lvlText w:val="%3."/>
      <w:lvlJc w:val="left"/>
      <w:pPr>
        <w:tabs>
          <w:tab w:val="num" w:pos="2340"/>
        </w:tabs>
        <w:ind w:left="2340" w:hanging="360"/>
      </w:pPr>
      <w:rPr>
        <w:b w:val="0"/>
        <w:i w:val="0"/>
        <w:sz w:val="24"/>
        <w:szCs w:val="24"/>
      </w:rPr>
    </w:lvl>
    <w:lvl w:ilvl="3" w:tplc="D9B462FE">
      <w:start w:val="1"/>
      <w:numFmt w:val="decimal"/>
      <w:lvlText w:val="%4."/>
      <w:lvlJc w:val="left"/>
      <w:pPr>
        <w:tabs>
          <w:tab w:val="num" w:pos="2880"/>
        </w:tabs>
        <w:ind w:left="2880" w:hanging="360"/>
      </w:pPr>
      <w:rPr>
        <w:b w:val="0"/>
        <w:i w:val="0"/>
        <w:sz w:val="24"/>
        <w:szCs w:val="24"/>
      </w:rPr>
    </w:lvl>
    <w:lvl w:ilvl="4" w:tplc="0C090019">
      <w:start w:val="1"/>
      <w:numFmt w:val="lowerLetter"/>
      <w:lvlText w:val="%5."/>
      <w:lvlJc w:val="left"/>
      <w:pPr>
        <w:tabs>
          <w:tab w:val="num" w:pos="3600"/>
        </w:tabs>
        <w:ind w:left="3600" w:hanging="360"/>
      </w:pPr>
    </w:lvl>
    <w:lvl w:ilvl="5" w:tplc="0C09001B">
      <w:start w:val="1"/>
      <w:numFmt w:val="lowerRoman"/>
      <w:lvlText w:val="%6."/>
      <w:lvlJc w:val="right"/>
      <w:pPr>
        <w:tabs>
          <w:tab w:val="num" w:pos="4320"/>
        </w:tabs>
        <w:ind w:left="4320" w:hanging="180"/>
      </w:pPr>
    </w:lvl>
    <w:lvl w:ilvl="6" w:tplc="0C09000F">
      <w:start w:val="1"/>
      <w:numFmt w:val="decimal"/>
      <w:lvlText w:val="%7."/>
      <w:lvlJc w:val="left"/>
      <w:pPr>
        <w:tabs>
          <w:tab w:val="num" w:pos="5040"/>
        </w:tabs>
        <w:ind w:left="5040" w:hanging="360"/>
      </w:pPr>
    </w:lvl>
    <w:lvl w:ilvl="7" w:tplc="0C090019">
      <w:start w:val="1"/>
      <w:numFmt w:val="lowerLetter"/>
      <w:lvlText w:val="%8."/>
      <w:lvlJc w:val="left"/>
      <w:pPr>
        <w:tabs>
          <w:tab w:val="num" w:pos="5760"/>
        </w:tabs>
        <w:ind w:left="5760" w:hanging="360"/>
      </w:pPr>
    </w:lvl>
    <w:lvl w:ilvl="8" w:tplc="0C09001B">
      <w:start w:val="1"/>
      <w:numFmt w:val="lowerRoman"/>
      <w:lvlText w:val="%9."/>
      <w:lvlJc w:val="right"/>
      <w:pPr>
        <w:tabs>
          <w:tab w:val="num" w:pos="6480"/>
        </w:tabs>
        <w:ind w:left="6480" w:hanging="180"/>
      </w:pPr>
    </w:lvl>
  </w:abstractNum>
  <w:abstractNum w:abstractNumId="10" w15:restartNumberingAfterBreak="0">
    <w:nsid w:val="26AB1872"/>
    <w:multiLevelType w:val="hybridMultilevel"/>
    <w:tmpl w:val="0A9080CE"/>
    <w:name w:val="hd62"/>
    <w:lvl w:ilvl="0" w:tplc="C924F840">
      <w:numFmt w:val="bullet"/>
      <w:lvlText w:val=""/>
      <w:lvlJc w:val="left"/>
      <w:pPr>
        <w:tabs>
          <w:tab w:val="num" w:pos="567"/>
        </w:tabs>
        <w:ind w:left="1418" w:hanging="567"/>
      </w:pPr>
      <w:rPr>
        <w:rFonts w:ascii="Symbol" w:hAnsi="Symbol" w:hint="default"/>
        <w:b w:val="0"/>
        <w:i w:val="0"/>
        <w:sz w:val="20"/>
      </w:rPr>
    </w:lvl>
    <w:lvl w:ilvl="1" w:tplc="985C9240">
      <w:start w:val="1"/>
      <w:numFmt w:val="bullet"/>
      <w:lvlText w:val=""/>
      <w:lvlJc w:val="left"/>
      <w:pPr>
        <w:tabs>
          <w:tab w:val="num" w:pos="1364"/>
        </w:tabs>
        <w:ind w:left="1364" w:hanging="284"/>
      </w:pPr>
      <w:rPr>
        <w:rFonts w:ascii="Symbol" w:hAnsi="Symbol" w:hint="default"/>
        <w:b w:val="0"/>
        <w:i w:val="0"/>
        <w:color w:val="auto"/>
        <w:sz w:val="20"/>
      </w:rPr>
    </w:lvl>
    <w:lvl w:ilvl="2" w:tplc="0C090005">
      <w:start w:val="1"/>
      <w:numFmt w:val="bullet"/>
      <w:lvlText w:val=""/>
      <w:lvlJc w:val="left"/>
      <w:pPr>
        <w:tabs>
          <w:tab w:val="num" w:pos="2160"/>
        </w:tabs>
        <w:ind w:left="2160" w:hanging="360"/>
      </w:pPr>
      <w:rPr>
        <w:rFonts w:ascii="Wingdings" w:hAnsi="Wingdings" w:hint="default"/>
      </w:rPr>
    </w:lvl>
    <w:lvl w:ilvl="3" w:tplc="99C0ED82">
      <w:start w:val="3"/>
      <w:numFmt w:val="bullet"/>
      <w:lvlText w:val="-"/>
      <w:lvlJc w:val="left"/>
      <w:pPr>
        <w:tabs>
          <w:tab w:val="num" w:pos="2880"/>
        </w:tabs>
        <w:ind w:left="2880" w:hanging="360"/>
      </w:pPr>
      <w:rPr>
        <w:rFonts w:ascii="Tahoma" w:eastAsia="Times New Roman" w:hAnsi="Tahoma" w:cs="Tahoma" w:hint="default"/>
      </w:rPr>
    </w:lvl>
    <w:lvl w:ilvl="4" w:tplc="0C090003">
      <w:start w:val="1"/>
      <w:numFmt w:val="bullet"/>
      <w:lvlText w:val="o"/>
      <w:lvlJc w:val="left"/>
      <w:pPr>
        <w:tabs>
          <w:tab w:val="num" w:pos="3600"/>
        </w:tabs>
        <w:ind w:left="3600" w:hanging="360"/>
      </w:pPr>
      <w:rPr>
        <w:rFonts w:ascii="Courier New" w:hAnsi="Courier New" w:cs="Times New Roman" w:hint="default"/>
      </w:rPr>
    </w:lvl>
    <w:lvl w:ilvl="5" w:tplc="0C090005">
      <w:start w:val="1"/>
      <w:numFmt w:val="bullet"/>
      <w:lvlText w:val=""/>
      <w:lvlJc w:val="left"/>
      <w:pPr>
        <w:tabs>
          <w:tab w:val="num" w:pos="4320"/>
        </w:tabs>
        <w:ind w:left="4320" w:hanging="360"/>
      </w:pPr>
      <w:rPr>
        <w:rFonts w:ascii="Wingdings" w:hAnsi="Wingdings" w:hint="default"/>
      </w:rPr>
    </w:lvl>
    <w:lvl w:ilvl="6" w:tplc="0C090001">
      <w:start w:val="1"/>
      <w:numFmt w:val="bullet"/>
      <w:lvlText w:val=""/>
      <w:lvlJc w:val="left"/>
      <w:pPr>
        <w:tabs>
          <w:tab w:val="num" w:pos="5040"/>
        </w:tabs>
        <w:ind w:left="5040" w:hanging="360"/>
      </w:pPr>
      <w:rPr>
        <w:rFonts w:ascii="Symbol" w:hAnsi="Symbol" w:hint="default"/>
      </w:rPr>
    </w:lvl>
    <w:lvl w:ilvl="7" w:tplc="0C090003">
      <w:start w:val="1"/>
      <w:numFmt w:val="bullet"/>
      <w:lvlText w:val="o"/>
      <w:lvlJc w:val="left"/>
      <w:pPr>
        <w:tabs>
          <w:tab w:val="num" w:pos="5760"/>
        </w:tabs>
        <w:ind w:left="5760" w:hanging="360"/>
      </w:pPr>
      <w:rPr>
        <w:rFonts w:ascii="Courier New" w:hAnsi="Courier New" w:cs="Times New Roman" w:hint="default"/>
      </w:rPr>
    </w:lvl>
    <w:lvl w:ilvl="8" w:tplc="0C09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ACA13B0"/>
    <w:multiLevelType w:val="hybridMultilevel"/>
    <w:tmpl w:val="9C807164"/>
    <w:lvl w:ilvl="0" w:tplc="61B61804">
      <w:start w:val="1"/>
      <w:numFmt w:val="bullet"/>
      <w:pStyle w:val="TLPNotebullet"/>
      <w:lvlText w:val=""/>
      <w:lvlJc w:val="left"/>
      <w:pPr>
        <w:tabs>
          <w:tab w:val="num" w:pos="2517"/>
        </w:tabs>
        <w:ind w:left="2517" w:hanging="357"/>
      </w:pPr>
      <w:rPr>
        <w:rFonts w:ascii="Symbol" w:hAnsi="Symbol" w:hint="default"/>
      </w:rPr>
    </w:lvl>
    <w:lvl w:ilvl="1" w:tplc="0C090003" w:tentative="1">
      <w:start w:val="1"/>
      <w:numFmt w:val="bullet"/>
      <w:lvlText w:val="o"/>
      <w:lvlJc w:val="left"/>
      <w:pPr>
        <w:ind w:left="3708" w:hanging="360"/>
      </w:pPr>
      <w:rPr>
        <w:rFonts w:ascii="Courier New" w:hAnsi="Courier New" w:cs="Courier New" w:hint="default"/>
      </w:rPr>
    </w:lvl>
    <w:lvl w:ilvl="2" w:tplc="0C090005" w:tentative="1">
      <w:start w:val="1"/>
      <w:numFmt w:val="bullet"/>
      <w:lvlText w:val=""/>
      <w:lvlJc w:val="left"/>
      <w:pPr>
        <w:ind w:left="4428" w:hanging="360"/>
      </w:pPr>
      <w:rPr>
        <w:rFonts w:ascii="Wingdings" w:hAnsi="Wingdings" w:hint="default"/>
      </w:rPr>
    </w:lvl>
    <w:lvl w:ilvl="3" w:tplc="0C090001" w:tentative="1">
      <w:start w:val="1"/>
      <w:numFmt w:val="bullet"/>
      <w:lvlText w:val=""/>
      <w:lvlJc w:val="left"/>
      <w:pPr>
        <w:ind w:left="5148" w:hanging="360"/>
      </w:pPr>
      <w:rPr>
        <w:rFonts w:ascii="Symbol" w:hAnsi="Symbol" w:hint="default"/>
      </w:rPr>
    </w:lvl>
    <w:lvl w:ilvl="4" w:tplc="0C090003" w:tentative="1">
      <w:start w:val="1"/>
      <w:numFmt w:val="bullet"/>
      <w:lvlText w:val="o"/>
      <w:lvlJc w:val="left"/>
      <w:pPr>
        <w:ind w:left="5868" w:hanging="360"/>
      </w:pPr>
      <w:rPr>
        <w:rFonts w:ascii="Courier New" w:hAnsi="Courier New" w:cs="Courier New" w:hint="default"/>
      </w:rPr>
    </w:lvl>
    <w:lvl w:ilvl="5" w:tplc="0C090005" w:tentative="1">
      <w:start w:val="1"/>
      <w:numFmt w:val="bullet"/>
      <w:lvlText w:val=""/>
      <w:lvlJc w:val="left"/>
      <w:pPr>
        <w:ind w:left="6588" w:hanging="360"/>
      </w:pPr>
      <w:rPr>
        <w:rFonts w:ascii="Wingdings" w:hAnsi="Wingdings" w:hint="default"/>
      </w:rPr>
    </w:lvl>
    <w:lvl w:ilvl="6" w:tplc="0C090001" w:tentative="1">
      <w:start w:val="1"/>
      <w:numFmt w:val="bullet"/>
      <w:lvlText w:val=""/>
      <w:lvlJc w:val="left"/>
      <w:pPr>
        <w:ind w:left="7308" w:hanging="360"/>
      </w:pPr>
      <w:rPr>
        <w:rFonts w:ascii="Symbol" w:hAnsi="Symbol" w:hint="default"/>
      </w:rPr>
    </w:lvl>
    <w:lvl w:ilvl="7" w:tplc="0C090003" w:tentative="1">
      <w:start w:val="1"/>
      <w:numFmt w:val="bullet"/>
      <w:lvlText w:val="o"/>
      <w:lvlJc w:val="left"/>
      <w:pPr>
        <w:ind w:left="8028" w:hanging="360"/>
      </w:pPr>
      <w:rPr>
        <w:rFonts w:ascii="Courier New" w:hAnsi="Courier New" w:cs="Courier New" w:hint="default"/>
      </w:rPr>
    </w:lvl>
    <w:lvl w:ilvl="8" w:tplc="0C090005" w:tentative="1">
      <w:start w:val="1"/>
      <w:numFmt w:val="bullet"/>
      <w:lvlText w:val=""/>
      <w:lvlJc w:val="left"/>
      <w:pPr>
        <w:ind w:left="8748" w:hanging="360"/>
      </w:pPr>
      <w:rPr>
        <w:rFonts w:ascii="Wingdings" w:hAnsi="Wingdings" w:hint="default"/>
      </w:rPr>
    </w:lvl>
  </w:abstractNum>
  <w:abstractNum w:abstractNumId="12" w15:restartNumberingAfterBreak="0">
    <w:nsid w:val="59130171"/>
    <w:multiLevelType w:val="multilevel"/>
    <w:tmpl w:val="A71A2C3A"/>
    <w:lvl w:ilvl="0">
      <w:start w:val="1"/>
      <w:numFmt w:val="bullet"/>
      <w:lvlText w:val=""/>
      <w:lvlJc w:val="left"/>
      <w:pPr>
        <w:tabs>
          <w:tab w:val="num" w:pos="720"/>
        </w:tabs>
        <w:ind w:left="0" w:firstLine="0"/>
      </w:pPr>
      <w:rPr>
        <w:rFonts w:ascii="Wingdings" w:hAnsi="Wingdings" w:hint="default"/>
      </w:rPr>
    </w:lvl>
    <w:lvl w:ilvl="1">
      <w:start w:val="1"/>
      <w:numFmt w:val="bullet"/>
      <w:lvlText w:val=""/>
      <w:lvlJc w:val="left"/>
      <w:pPr>
        <w:tabs>
          <w:tab w:val="num" w:pos="1440"/>
        </w:tabs>
        <w:ind w:left="1440" w:hanging="720"/>
      </w:pPr>
      <w:rPr>
        <w:rFonts w:ascii="Wingdings" w:hAnsi="Wingdings" w:hint="default"/>
      </w:rPr>
    </w:lvl>
    <w:lvl w:ilvl="2">
      <w:start w:val="1"/>
      <w:numFmt w:val="bullet"/>
      <w:lvlText w:val=""/>
      <w:lvlJc w:val="left"/>
      <w:pPr>
        <w:tabs>
          <w:tab w:val="num" w:pos="1440"/>
        </w:tabs>
        <w:ind w:left="1440" w:hanging="720"/>
      </w:pPr>
      <w:rPr>
        <w:rFonts w:ascii="Symbol" w:hAnsi="Symbol" w:hint="default"/>
      </w:rPr>
    </w:lvl>
    <w:lvl w:ilvl="3">
      <w:start w:val="1"/>
      <w:numFmt w:val="lowerRoman"/>
      <w:lvlText w:val="(%4)"/>
      <w:lvlJc w:val="left"/>
      <w:pPr>
        <w:tabs>
          <w:tab w:val="num" w:pos="2160"/>
        </w:tabs>
        <w:ind w:left="2160" w:hanging="72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5E83187E"/>
    <w:multiLevelType w:val="hybridMultilevel"/>
    <w:tmpl w:val="FE5A4F48"/>
    <w:lvl w:ilvl="0" w:tplc="E5E8917A">
      <w:start w:val="1"/>
      <w:numFmt w:val="bullet"/>
      <w:lvlText w:val=""/>
      <w:lvlJc w:val="left"/>
      <w:pPr>
        <w:ind w:left="720" w:hanging="360"/>
      </w:pPr>
      <w:rPr>
        <w:rFonts w:ascii="Wingdings" w:hAnsi="Wingdings" w:hint="default"/>
        <w:b w:val="0"/>
        <w:sz w:val="28"/>
        <w:szCs w:val="2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127459791">
    <w:abstractNumId w:val="11"/>
  </w:num>
  <w:num w:numId="2" w16cid:durableId="50464270">
    <w:abstractNumId w:val="8"/>
  </w:num>
  <w:num w:numId="3" w16cid:durableId="194191314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70338207">
    <w:abstractNumId w:val="12"/>
  </w:num>
  <w:num w:numId="5" w16cid:durableId="1145857163">
    <w:abstractNumId w:val="13"/>
  </w:num>
  <w:num w:numId="6" w16cid:durableId="1953587283">
    <w:abstractNumId w:val="6"/>
  </w:num>
  <w:num w:numId="7" w16cid:durableId="1230732060">
    <w:abstractNumId w:val="5"/>
  </w:num>
  <w:num w:numId="8" w16cid:durableId="1640375137">
    <w:abstractNumId w:val="4"/>
  </w:num>
  <w:num w:numId="9" w16cid:durableId="1888683844">
    <w:abstractNumId w:val="7"/>
  </w:num>
  <w:num w:numId="10" w16cid:durableId="1095976880">
    <w:abstractNumId w:val="3"/>
  </w:num>
  <w:num w:numId="11" w16cid:durableId="1152062236">
    <w:abstractNumId w:val="2"/>
  </w:num>
  <w:num w:numId="12" w16cid:durableId="116334850">
    <w:abstractNumId w:val="1"/>
  </w:num>
  <w:num w:numId="13" w16cid:durableId="182741954">
    <w:abstractNumId w:val="0"/>
  </w:num>
  <w:num w:numId="14" w16cid:durableId="620188255">
    <w:abstractNumId w:val="7"/>
  </w:num>
  <w:num w:numId="15" w16cid:durableId="87120221">
    <w:abstractNumId w:val="3"/>
  </w:num>
  <w:num w:numId="16" w16cid:durableId="1946763415">
    <w:abstractNumId w:val="2"/>
  </w:num>
  <w:num w:numId="17" w16cid:durableId="1145317559">
    <w:abstractNumId w:val="1"/>
  </w:num>
  <w:num w:numId="18" w16cid:durableId="1162355766">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TrueTypeFonts/>
  <w:saveSubsetFonts/>
  <w:proofState w:spelling="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F9CBAE3F-2DFF-417E-961D-EC5EE8039BDF}"/>
    <w:docVar w:name="dgnword-eventsink" w:val="74290408"/>
  </w:docVars>
  <w:rsids>
    <w:rsidRoot w:val="00E10F41"/>
    <w:rsid w:val="00000846"/>
    <w:rsid w:val="00000A2E"/>
    <w:rsid w:val="0000110D"/>
    <w:rsid w:val="000013FC"/>
    <w:rsid w:val="000017C0"/>
    <w:rsid w:val="0000182F"/>
    <w:rsid w:val="00001937"/>
    <w:rsid w:val="00002BBC"/>
    <w:rsid w:val="00002D3F"/>
    <w:rsid w:val="00004B84"/>
    <w:rsid w:val="000065FB"/>
    <w:rsid w:val="00007AB2"/>
    <w:rsid w:val="00007C97"/>
    <w:rsid w:val="0001103A"/>
    <w:rsid w:val="000116BE"/>
    <w:rsid w:val="00011D03"/>
    <w:rsid w:val="00012F1B"/>
    <w:rsid w:val="000136AF"/>
    <w:rsid w:val="00013845"/>
    <w:rsid w:val="00013F97"/>
    <w:rsid w:val="00014C82"/>
    <w:rsid w:val="00014EBE"/>
    <w:rsid w:val="0001517A"/>
    <w:rsid w:val="00015F27"/>
    <w:rsid w:val="00016AB6"/>
    <w:rsid w:val="00016B3A"/>
    <w:rsid w:val="00017258"/>
    <w:rsid w:val="00020490"/>
    <w:rsid w:val="00021D4E"/>
    <w:rsid w:val="000228BF"/>
    <w:rsid w:val="000228F8"/>
    <w:rsid w:val="00023181"/>
    <w:rsid w:val="0002429B"/>
    <w:rsid w:val="0002463A"/>
    <w:rsid w:val="00024C3A"/>
    <w:rsid w:val="00024CB7"/>
    <w:rsid w:val="00025A58"/>
    <w:rsid w:val="0002651C"/>
    <w:rsid w:val="00030BB3"/>
    <w:rsid w:val="00030E02"/>
    <w:rsid w:val="0003125D"/>
    <w:rsid w:val="000312DD"/>
    <w:rsid w:val="00031E4C"/>
    <w:rsid w:val="000324C7"/>
    <w:rsid w:val="00032F5A"/>
    <w:rsid w:val="000336F6"/>
    <w:rsid w:val="000349D2"/>
    <w:rsid w:val="00035AC4"/>
    <w:rsid w:val="000372D1"/>
    <w:rsid w:val="00041596"/>
    <w:rsid w:val="00041A27"/>
    <w:rsid w:val="00041E2A"/>
    <w:rsid w:val="00042458"/>
    <w:rsid w:val="000428F1"/>
    <w:rsid w:val="000437C3"/>
    <w:rsid w:val="000449B1"/>
    <w:rsid w:val="00044E00"/>
    <w:rsid w:val="00044E04"/>
    <w:rsid w:val="00045767"/>
    <w:rsid w:val="000463B6"/>
    <w:rsid w:val="00046700"/>
    <w:rsid w:val="00050004"/>
    <w:rsid w:val="0005087A"/>
    <w:rsid w:val="00051517"/>
    <w:rsid w:val="00051755"/>
    <w:rsid w:val="000527A5"/>
    <w:rsid w:val="00052CF3"/>
    <w:rsid w:val="00053043"/>
    <w:rsid w:val="00053531"/>
    <w:rsid w:val="000537B1"/>
    <w:rsid w:val="0005396B"/>
    <w:rsid w:val="00053F85"/>
    <w:rsid w:val="00055911"/>
    <w:rsid w:val="000559AF"/>
    <w:rsid w:val="00055FE4"/>
    <w:rsid w:val="00056743"/>
    <w:rsid w:val="00057E55"/>
    <w:rsid w:val="00060939"/>
    <w:rsid w:val="00060AD4"/>
    <w:rsid w:val="00060F83"/>
    <w:rsid w:val="00061000"/>
    <w:rsid w:val="0006100B"/>
    <w:rsid w:val="00061427"/>
    <w:rsid w:val="000614BF"/>
    <w:rsid w:val="000617A0"/>
    <w:rsid w:val="000624BF"/>
    <w:rsid w:val="00062753"/>
    <w:rsid w:val="00062B2E"/>
    <w:rsid w:val="00063ACA"/>
    <w:rsid w:val="00064404"/>
    <w:rsid w:val="000645E5"/>
    <w:rsid w:val="00065FE0"/>
    <w:rsid w:val="00066801"/>
    <w:rsid w:val="00066F17"/>
    <w:rsid w:val="000707EC"/>
    <w:rsid w:val="000709A0"/>
    <w:rsid w:val="000716AD"/>
    <w:rsid w:val="00071B22"/>
    <w:rsid w:val="00071B80"/>
    <w:rsid w:val="00072789"/>
    <w:rsid w:val="000735A6"/>
    <w:rsid w:val="000738C6"/>
    <w:rsid w:val="00074538"/>
    <w:rsid w:val="00075195"/>
    <w:rsid w:val="000758A9"/>
    <w:rsid w:val="00077A3C"/>
    <w:rsid w:val="00077A94"/>
    <w:rsid w:val="00077E2E"/>
    <w:rsid w:val="0008193D"/>
    <w:rsid w:val="00083024"/>
    <w:rsid w:val="00083133"/>
    <w:rsid w:val="00083654"/>
    <w:rsid w:val="00083E44"/>
    <w:rsid w:val="000849F7"/>
    <w:rsid w:val="00085C31"/>
    <w:rsid w:val="000878CB"/>
    <w:rsid w:val="00090F15"/>
    <w:rsid w:val="000920EC"/>
    <w:rsid w:val="000927B3"/>
    <w:rsid w:val="0009463D"/>
    <w:rsid w:val="00094A40"/>
    <w:rsid w:val="000962E7"/>
    <w:rsid w:val="000979F6"/>
    <w:rsid w:val="00097B43"/>
    <w:rsid w:val="00097B59"/>
    <w:rsid w:val="00097ECE"/>
    <w:rsid w:val="000A10B7"/>
    <w:rsid w:val="000A11FA"/>
    <w:rsid w:val="000A1296"/>
    <w:rsid w:val="000A2841"/>
    <w:rsid w:val="000A2C0C"/>
    <w:rsid w:val="000A2D2D"/>
    <w:rsid w:val="000A398A"/>
    <w:rsid w:val="000A3A17"/>
    <w:rsid w:val="000A3F67"/>
    <w:rsid w:val="000A6637"/>
    <w:rsid w:val="000A6DE3"/>
    <w:rsid w:val="000A752D"/>
    <w:rsid w:val="000A7624"/>
    <w:rsid w:val="000A7964"/>
    <w:rsid w:val="000A7EEE"/>
    <w:rsid w:val="000B039C"/>
    <w:rsid w:val="000B0D6B"/>
    <w:rsid w:val="000B1307"/>
    <w:rsid w:val="000B3456"/>
    <w:rsid w:val="000B6263"/>
    <w:rsid w:val="000B639A"/>
    <w:rsid w:val="000B64E3"/>
    <w:rsid w:val="000B68C0"/>
    <w:rsid w:val="000B6DDA"/>
    <w:rsid w:val="000B73E8"/>
    <w:rsid w:val="000C130E"/>
    <w:rsid w:val="000C3122"/>
    <w:rsid w:val="000C3CFF"/>
    <w:rsid w:val="000C6431"/>
    <w:rsid w:val="000C65E2"/>
    <w:rsid w:val="000C6669"/>
    <w:rsid w:val="000C6703"/>
    <w:rsid w:val="000C68CB"/>
    <w:rsid w:val="000C6A65"/>
    <w:rsid w:val="000C6BC2"/>
    <w:rsid w:val="000C6C43"/>
    <w:rsid w:val="000C6DCC"/>
    <w:rsid w:val="000C700B"/>
    <w:rsid w:val="000C7D27"/>
    <w:rsid w:val="000D0103"/>
    <w:rsid w:val="000D05EF"/>
    <w:rsid w:val="000D0C5E"/>
    <w:rsid w:val="000D0DF3"/>
    <w:rsid w:val="000D0F84"/>
    <w:rsid w:val="000D242B"/>
    <w:rsid w:val="000D2500"/>
    <w:rsid w:val="000D3185"/>
    <w:rsid w:val="000D41C4"/>
    <w:rsid w:val="000D4CFA"/>
    <w:rsid w:val="000D5995"/>
    <w:rsid w:val="000D5DE1"/>
    <w:rsid w:val="000D63D1"/>
    <w:rsid w:val="000E1625"/>
    <w:rsid w:val="000E20DF"/>
    <w:rsid w:val="000E215F"/>
    <w:rsid w:val="000E24E5"/>
    <w:rsid w:val="000E2733"/>
    <w:rsid w:val="000E41BB"/>
    <w:rsid w:val="000E4D9D"/>
    <w:rsid w:val="000E5E1F"/>
    <w:rsid w:val="000E603C"/>
    <w:rsid w:val="000E6115"/>
    <w:rsid w:val="000E621E"/>
    <w:rsid w:val="000E7FF9"/>
    <w:rsid w:val="000F2F90"/>
    <w:rsid w:val="000F3859"/>
    <w:rsid w:val="000F41A7"/>
    <w:rsid w:val="000F4ECA"/>
    <w:rsid w:val="000F5E7F"/>
    <w:rsid w:val="000F6075"/>
    <w:rsid w:val="000F60BD"/>
    <w:rsid w:val="000F638C"/>
    <w:rsid w:val="000F71B5"/>
    <w:rsid w:val="000F746A"/>
    <w:rsid w:val="000F7A1A"/>
    <w:rsid w:val="000F7BC5"/>
    <w:rsid w:val="000F7CE5"/>
    <w:rsid w:val="0010106F"/>
    <w:rsid w:val="001018D9"/>
    <w:rsid w:val="00101EB1"/>
    <w:rsid w:val="00102718"/>
    <w:rsid w:val="0010422B"/>
    <w:rsid w:val="0010571F"/>
    <w:rsid w:val="00105BD0"/>
    <w:rsid w:val="00105C9B"/>
    <w:rsid w:val="00106B06"/>
    <w:rsid w:val="00106B94"/>
    <w:rsid w:val="001071F6"/>
    <w:rsid w:val="0010745C"/>
    <w:rsid w:val="00107D46"/>
    <w:rsid w:val="00110834"/>
    <w:rsid w:val="001109E4"/>
    <w:rsid w:val="00110B77"/>
    <w:rsid w:val="001111D3"/>
    <w:rsid w:val="001123C8"/>
    <w:rsid w:val="00112693"/>
    <w:rsid w:val="001131B3"/>
    <w:rsid w:val="00113E26"/>
    <w:rsid w:val="00114622"/>
    <w:rsid w:val="00115101"/>
    <w:rsid w:val="00117C58"/>
    <w:rsid w:val="00120615"/>
    <w:rsid w:val="00120D87"/>
    <w:rsid w:val="001212DB"/>
    <w:rsid w:val="0012172F"/>
    <w:rsid w:val="00121FF6"/>
    <w:rsid w:val="00122647"/>
    <w:rsid w:val="001232AC"/>
    <w:rsid w:val="001233B4"/>
    <w:rsid w:val="00123745"/>
    <w:rsid w:val="00123930"/>
    <w:rsid w:val="00124F91"/>
    <w:rsid w:val="0012581B"/>
    <w:rsid w:val="00127E4D"/>
    <w:rsid w:val="001304C8"/>
    <w:rsid w:val="0013097A"/>
    <w:rsid w:val="00130E47"/>
    <w:rsid w:val="00131587"/>
    <w:rsid w:val="00131590"/>
    <w:rsid w:val="00132320"/>
    <w:rsid w:val="001325AB"/>
    <w:rsid w:val="001329F0"/>
    <w:rsid w:val="001339CB"/>
    <w:rsid w:val="00134037"/>
    <w:rsid w:val="00134960"/>
    <w:rsid w:val="00134A72"/>
    <w:rsid w:val="00134B5E"/>
    <w:rsid w:val="00134C62"/>
    <w:rsid w:val="0013517B"/>
    <w:rsid w:val="0013568A"/>
    <w:rsid w:val="00135AC2"/>
    <w:rsid w:val="00135BA0"/>
    <w:rsid w:val="00136C94"/>
    <w:rsid w:val="00140424"/>
    <w:rsid w:val="00140961"/>
    <w:rsid w:val="00140EA6"/>
    <w:rsid w:val="001412E2"/>
    <w:rsid w:val="001414D9"/>
    <w:rsid w:val="001418E9"/>
    <w:rsid w:val="00143843"/>
    <w:rsid w:val="001445D3"/>
    <w:rsid w:val="0014479F"/>
    <w:rsid w:val="00146587"/>
    <w:rsid w:val="0014665C"/>
    <w:rsid w:val="0014733A"/>
    <w:rsid w:val="00150CEC"/>
    <w:rsid w:val="00150D8D"/>
    <w:rsid w:val="0015100D"/>
    <w:rsid w:val="001514C6"/>
    <w:rsid w:val="00151B6E"/>
    <w:rsid w:val="00152326"/>
    <w:rsid w:val="001524E7"/>
    <w:rsid w:val="00152F09"/>
    <w:rsid w:val="00153951"/>
    <w:rsid w:val="00153B4E"/>
    <w:rsid w:val="00154660"/>
    <w:rsid w:val="00154849"/>
    <w:rsid w:val="001548B8"/>
    <w:rsid w:val="00155499"/>
    <w:rsid w:val="00155E4A"/>
    <w:rsid w:val="0015635F"/>
    <w:rsid w:val="00160636"/>
    <w:rsid w:val="00160CB3"/>
    <w:rsid w:val="001619A8"/>
    <w:rsid w:val="00161E76"/>
    <w:rsid w:val="00162651"/>
    <w:rsid w:val="00162672"/>
    <w:rsid w:val="00163A19"/>
    <w:rsid w:val="00165A72"/>
    <w:rsid w:val="00166377"/>
    <w:rsid w:val="00166BBC"/>
    <w:rsid w:val="00166C2F"/>
    <w:rsid w:val="0016713B"/>
    <w:rsid w:val="001673F0"/>
    <w:rsid w:val="001679B3"/>
    <w:rsid w:val="00167C1F"/>
    <w:rsid w:val="00167DC0"/>
    <w:rsid w:val="001708A3"/>
    <w:rsid w:val="00170B66"/>
    <w:rsid w:val="001716B5"/>
    <w:rsid w:val="00171AD9"/>
    <w:rsid w:val="001723E9"/>
    <w:rsid w:val="00172516"/>
    <w:rsid w:val="00172600"/>
    <w:rsid w:val="00172745"/>
    <w:rsid w:val="001729EC"/>
    <w:rsid w:val="00174167"/>
    <w:rsid w:val="00174A11"/>
    <w:rsid w:val="001765A4"/>
    <w:rsid w:val="00176C93"/>
    <w:rsid w:val="00177771"/>
    <w:rsid w:val="001777C9"/>
    <w:rsid w:val="00177F8C"/>
    <w:rsid w:val="00180A24"/>
    <w:rsid w:val="00180BA2"/>
    <w:rsid w:val="00182FFB"/>
    <w:rsid w:val="00183673"/>
    <w:rsid w:val="00183A06"/>
    <w:rsid w:val="00183BE0"/>
    <w:rsid w:val="00184548"/>
    <w:rsid w:val="001847DA"/>
    <w:rsid w:val="001861AE"/>
    <w:rsid w:val="001864E9"/>
    <w:rsid w:val="001870EF"/>
    <w:rsid w:val="0018739D"/>
    <w:rsid w:val="001905DD"/>
    <w:rsid w:val="001912E1"/>
    <w:rsid w:val="00191E26"/>
    <w:rsid w:val="0019206B"/>
    <w:rsid w:val="0019243A"/>
    <w:rsid w:val="001928FA"/>
    <w:rsid w:val="00192FEA"/>
    <w:rsid w:val="00193412"/>
    <w:rsid w:val="001939E1"/>
    <w:rsid w:val="00194060"/>
    <w:rsid w:val="00194263"/>
    <w:rsid w:val="001944E2"/>
    <w:rsid w:val="0019473D"/>
    <w:rsid w:val="00195060"/>
    <w:rsid w:val="00195382"/>
    <w:rsid w:val="001954C0"/>
    <w:rsid w:val="00195F47"/>
    <w:rsid w:val="00196361"/>
    <w:rsid w:val="00196529"/>
    <w:rsid w:val="0019711A"/>
    <w:rsid w:val="00197826"/>
    <w:rsid w:val="001A075B"/>
    <w:rsid w:val="001A1684"/>
    <w:rsid w:val="001A238E"/>
    <w:rsid w:val="001A2DE9"/>
    <w:rsid w:val="001A3601"/>
    <w:rsid w:val="001A43B0"/>
    <w:rsid w:val="001A4E0D"/>
    <w:rsid w:val="001A593D"/>
    <w:rsid w:val="001A59E0"/>
    <w:rsid w:val="001A5F20"/>
    <w:rsid w:val="001A66A3"/>
    <w:rsid w:val="001A66B5"/>
    <w:rsid w:val="001A6A62"/>
    <w:rsid w:val="001A7931"/>
    <w:rsid w:val="001A7D49"/>
    <w:rsid w:val="001B02F4"/>
    <w:rsid w:val="001B14DA"/>
    <w:rsid w:val="001B34EB"/>
    <w:rsid w:val="001B427E"/>
    <w:rsid w:val="001B718D"/>
    <w:rsid w:val="001B75B4"/>
    <w:rsid w:val="001C06CA"/>
    <w:rsid w:val="001C16FE"/>
    <w:rsid w:val="001C4A78"/>
    <w:rsid w:val="001C621E"/>
    <w:rsid w:val="001C63D8"/>
    <w:rsid w:val="001C6638"/>
    <w:rsid w:val="001C69C4"/>
    <w:rsid w:val="001C7E66"/>
    <w:rsid w:val="001D0716"/>
    <w:rsid w:val="001D0768"/>
    <w:rsid w:val="001D0E7F"/>
    <w:rsid w:val="001D2822"/>
    <w:rsid w:val="001D2B5F"/>
    <w:rsid w:val="001D3542"/>
    <w:rsid w:val="001D3931"/>
    <w:rsid w:val="001D47C3"/>
    <w:rsid w:val="001D4CC3"/>
    <w:rsid w:val="001D6B64"/>
    <w:rsid w:val="001E014A"/>
    <w:rsid w:val="001E06CE"/>
    <w:rsid w:val="001E0B88"/>
    <w:rsid w:val="001E1408"/>
    <w:rsid w:val="001E2A69"/>
    <w:rsid w:val="001E2F20"/>
    <w:rsid w:val="001E349A"/>
    <w:rsid w:val="001E3590"/>
    <w:rsid w:val="001E456D"/>
    <w:rsid w:val="001E480D"/>
    <w:rsid w:val="001E5204"/>
    <w:rsid w:val="001E5C10"/>
    <w:rsid w:val="001E6308"/>
    <w:rsid w:val="001E7407"/>
    <w:rsid w:val="001E7FC9"/>
    <w:rsid w:val="001F0F06"/>
    <w:rsid w:val="001F1262"/>
    <w:rsid w:val="001F1BDB"/>
    <w:rsid w:val="001F2679"/>
    <w:rsid w:val="001F59A5"/>
    <w:rsid w:val="001F5A17"/>
    <w:rsid w:val="001F5AF9"/>
    <w:rsid w:val="001F6888"/>
    <w:rsid w:val="001F72F4"/>
    <w:rsid w:val="001F756C"/>
    <w:rsid w:val="001F7CC7"/>
    <w:rsid w:val="002015AC"/>
    <w:rsid w:val="00201FFB"/>
    <w:rsid w:val="00202588"/>
    <w:rsid w:val="0020288D"/>
    <w:rsid w:val="00202980"/>
    <w:rsid w:val="00202A3D"/>
    <w:rsid w:val="00202E8C"/>
    <w:rsid w:val="0020527B"/>
    <w:rsid w:val="002054B3"/>
    <w:rsid w:val="00205E75"/>
    <w:rsid w:val="00205E8F"/>
    <w:rsid w:val="002071BB"/>
    <w:rsid w:val="0020724A"/>
    <w:rsid w:val="002074AA"/>
    <w:rsid w:val="00207594"/>
    <w:rsid w:val="00207614"/>
    <w:rsid w:val="002100E6"/>
    <w:rsid w:val="00210297"/>
    <w:rsid w:val="00210AAB"/>
    <w:rsid w:val="00210BAB"/>
    <w:rsid w:val="00210BC1"/>
    <w:rsid w:val="00211F56"/>
    <w:rsid w:val="00212C6A"/>
    <w:rsid w:val="00213160"/>
    <w:rsid w:val="00213296"/>
    <w:rsid w:val="00213E20"/>
    <w:rsid w:val="00214770"/>
    <w:rsid w:val="00215934"/>
    <w:rsid w:val="00216B07"/>
    <w:rsid w:val="00217891"/>
    <w:rsid w:val="00222067"/>
    <w:rsid w:val="0022253F"/>
    <w:rsid w:val="0022416D"/>
    <w:rsid w:val="00224371"/>
    <w:rsid w:val="002243B0"/>
    <w:rsid w:val="00224AF5"/>
    <w:rsid w:val="00226332"/>
    <w:rsid w:val="00230ABB"/>
    <w:rsid w:val="00230ECB"/>
    <w:rsid w:val="0023124E"/>
    <w:rsid w:val="00231872"/>
    <w:rsid w:val="002329B4"/>
    <w:rsid w:val="00232C66"/>
    <w:rsid w:val="002333B5"/>
    <w:rsid w:val="00234262"/>
    <w:rsid w:val="00234412"/>
    <w:rsid w:val="00234CB2"/>
    <w:rsid w:val="00234E6D"/>
    <w:rsid w:val="00234F92"/>
    <w:rsid w:val="002353F1"/>
    <w:rsid w:val="002356F5"/>
    <w:rsid w:val="00235C52"/>
    <w:rsid w:val="00236262"/>
    <w:rsid w:val="00236535"/>
    <w:rsid w:val="002366E2"/>
    <w:rsid w:val="0024295D"/>
    <w:rsid w:val="00242B00"/>
    <w:rsid w:val="00242D1D"/>
    <w:rsid w:val="00242E13"/>
    <w:rsid w:val="00242EF5"/>
    <w:rsid w:val="00243DA2"/>
    <w:rsid w:val="002440CB"/>
    <w:rsid w:val="002440FD"/>
    <w:rsid w:val="00244301"/>
    <w:rsid w:val="00244910"/>
    <w:rsid w:val="00244D42"/>
    <w:rsid w:val="00245A99"/>
    <w:rsid w:val="00245CFA"/>
    <w:rsid w:val="0024751B"/>
    <w:rsid w:val="00247899"/>
    <w:rsid w:val="00250E31"/>
    <w:rsid w:val="00250EE0"/>
    <w:rsid w:val="00251B06"/>
    <w:rsid w:val="00251CCC"/>
    <w:rsid w:val="002525CA"/>
    <w:rsid w:val="002526E1"/>
    <w:rsid w:val="00253360"/>
    <w:rsid w:val="00253D1B"/>
    <w:rsid w:val="00253ECE"/>
    <w:rsid w:val="002543E1"/>
    <w:rsid w:val="002553E6"/>
    <w:rsid w:val="002554B6"/>
    <w:rsid w:val="00255691"/>
    <w:rsid w:val="0025597E"/>
    <w:rsid w:val="00256E22"/>
    <w:rsid w:val="00257663"/>
    <w:rsid w:val="002577A6"/>
    <w:rsid w:val="002600D1"/>
    <w:rsid w:val="00260AC6"/>
    <w:rsid w:val="002619DE"/>
    <w:rsid w:val="00262E1D"/>
    <w:rsid w:val="00263B0F"/>
    <w:rsid w:val="00264448"/>
    <w:rsid w:val="002672AC"/>
    <w:rsid w:val="00267746"/>
    <w:rsid w:val="00270D00"/>
    <w:rsid w:val="00271A72"/>
    <w:rsid w:val="00273A6E"/>
    <w:rsid w:val="0027430B"/>
    <w:rsid w:val="00274A68"/>
    <w:rsid w:val="002756C1"/>
    <w:rsid w:val="002763E0"/>
    <w:rsid w:val="00276E45"/>
    <w:rsid w:val="0027721E"/>
    <w:rsid w:val="002772F5"/>
    <w:rsid w:val="00277385"/>
    <w:rsid w:val="00277499"/>
    <w:rsid w:val="0028008A"/>
    <w:rsid w:val="00280618"/>
    <w:rsid w:val="0028091B"/>
    <w:rsid w:val="00281F57"/>
    <w:rsid w:val="00281F7E"/>
    <w:rsid w:val="00282DB6"/>
    <w:rsid w:val="00285B00"/>
    <w:rsid w:val="00286DC2"/>
    <w:rsid w:val="0028739D"/>
    <w:rsid w:val="00287514"/>
    <w:rsid w:val="002879D8"/>
    <w:rsid w:val="00291B20"/>
    <w:rsid w:val="00293225"/>
    <w:rsid w:val="002955C5"/>
    <w:rsid w:val="002956DD"/>
    <w:rsid w:val="00295A2F"/>
    <w:rsid w:val="00295FBA"/>
    <w:rsid w:val="002970D7"/>
    <w:rsid w:val="00297797"/>
    <w:rsid w:val="002978A1"/>
    <w:rsid w:val="00297ECB"/>
    <w:rsid w:val="002A1A43"/>
    <w:rsid w:val="002A3BB7"/>
    <w:rsid w:val="002A4D4C"/>
    <w:rsid w:val="002A7D4B"/>
    <w:rsid w:val="002B08B6"/>
    <w:rsid w:val="002B0BEC"/>
    <w:rsid w:val="002B0E90"/>
    <w:rsid w:val="002B1444"/>
    <w:rsid w:val="002B2320"/>
    <w:rsid w:val="002B303B"/>
    <w:rsid w:val="002B3431"/>
    <w:rsid w:val="002B43A0"/>
    <w:rsid w:val="002B530F"/>
    <w:rsid w:val="002B5C7E"/>
    <w:rsid w:val="002B7461"/>
    <w:rsid w:val="002B78E4"/>
    <w:rsid w:val="002B7BF7"/>
    <w:rsid w:val="002C018F"/>
    <w:rsid w:val="002C07A7"/>
    <w:rsid w:val="002C0EA8"/>
    <w:rsid w:val="002C0EF2"/>
    <w:rsid w:val="002C146F"/>
    <w:rsid w:val="002C150F"/>
    <w:rsid w:val="002C15BA"/>
    <w:rsid w:val="002C201A"/>
    <w:rsid w:val="002C29CB"/>
    <w:rsid w:val="002C2A36"/>
    <w:rsid w:val="002C3087"/>
    <w:rsid w:val="002C35F6"/>
    <w:rsid w:val="002C4CEF"/>
    <w:rsid w:val="002C5317"/>
    <w:rsid w:val="002C56F0"/>
    <w:rsid w:val="002C74F6"/>
    <w:rsid w:val="002C78B3"/>
    <w:rsid w:val="002D043A"/>
    <w:rsid w:val="002D29E1"/>
    <w:rsid w:val="002D376A"/>
    <w:rsid w:val="002D3ECC"/>
    <w:rsid w:val="002D3EDF"/>
    <w:rsid w:val="002D3FB6"/>
    <w:rsid w:val="002D530F"/>
    <w:rsid w:val="002D57B1"/>
    <w:rsid w:val="002D5983"/>
    <w:rsid w:val="002D5D71"/>
    <w:rsid w:val="002D5DF5"/>
    <w:rsid w:val="002D66E4"/>
    <w:rsid w:val="002D6F11"/>
    <w:rsid w:val="002D6F7D"/>
    <w:rsid w:val="002D7310"/>
    <w:rsid w:val="002D74A6"/>
    <w:rsid w:val="002D786D"/>
    <w:rsid w:val="002E0CC9"/>
    <w:rsid w:val="002E0E77"/>
    <w:rsid w:val="002E2D02"/>
    <w:rsid w:val="002E30E1"/>
    <w:rsid w:val="002E3AFF"/>
    <w:rsid w:val="002E3F8C"/>
    <w:rsid w:val="002E4682"/>
    <w:rsid w:val="002E4F94"/>
    <w:rsid w:val="002E652E"/>
    <w:rsid w:val="002E7C73"/>
    <w:rsid w:val="002F071C"/>
    <w:rsid w:val="002F0D3D"/>
    <w:rsid w:val="002F14DE"/>
    <w:rsid w:val="002F1637"/>
    <w:rsid w:val="002F1D1D"/>
    <w:rsid w:val="002F24B0"/>
    <w:rsid w:val="002F27B2"/>
    <w:rsid w:val="002F2C08"/>
    <w:rsid w:val="002F328F"/>
    <w:rsid w:val="002F347F"/>
    <w:rsid w:val="002F3502"/>
    <w:rsid w:val="002F382A"/>
    <w:rsid w:val="002F3911"/>
    <w:rsid w:val="002F4517"/>
    <w:rsid w:val="002F5ACF"/>
    <w:rsid w:val="00300739"/>
    <w:rsid w:val="00300BA3"/>
    <w:rsid w:val="00300BD5"/>
    <w:rsid w:val="00301995"/>
    <w:rsid w:val="00301AFB"/>
    <w:rsid w:val="00301F96"/>
    <w:rsid w:val="00302E78"/>
    <w:rsid w:val="00303980"/>
    <w:rsid w:val="00304832"/>
    <w:rsid w:val="00305D34"/>
    <w:rsid w:val="00306B5E"/>
    <w:rsid w:val="00307D80"/>
    <w:rsid w:val="00307FAD"/>
    <w:rsid w:val="0031199D"/>
    <w:rsid w:val="00311ED1"/>
    <w:rsid w:val="00312030"/>
    <w:rsid w:val="00312A26"/>
    <w:rsid w:val="003132C1"/>
    <w:rsid w:val="003137D3"/>
    <w:rsid w:val="00314A0B"/>
    <w:rsid w:val="00314C8F"/>
    <w:rsid w:val="00315479"/>
    <w:rsid w:val="00316167"/>
    <w:rsid w:val="00317A33"/>
    <w:rsid w:val="00317B28"/>
    <w:rsid w:val="0032115E"/>
    <w:rsid w:val="00321640"/>
    <w:rsid w:val="00321924"/>
    <w:rsid w:val="00322090"/>
    <w:rsid w:val="0032307F"/>
    <w:rsid w:val="003232B3"/>
    <w:rsid w:val="0032355E"/>
    <w:rsid w:val="00323F81"/>
    <w:rsid w:val="00326613"/>
    <w:rsid w:val="00326770"/>
    <w:rsid w:val="0033067E"/>
    <w:rsid w:val="003311FB"/>
    <w:rsid w:val="00331285"/>
    <w:rsid w:val="00331ABC"/>
    <w:rsid w:val="00331E4A"/>
    <w:rsid w:val="0033228A"/>
    <w:rsid w:val="0033291B"/>
    <w:rsid w:val="003332CE"/>
    <w:rsid w:val="00333355"/>
    <w:rsid w:val="003338E0"/>
    <w:rsid w:val="003339A8"/>
    <w:rsid w:val="003339B3"/>
    <w:rsid w:val="00333E36"/>
    <w:rsid w:val="003350F6"/>
    <w:rsid w:val="0033584B"/>
    <w:rsid w:val="00335D9A"/>
    <w:rsid w:val="00335F97"/>
    <w:rsid w:val="00336CA3"/>
    <w:rsid w:val="003376ED"/>
    <w:rsid w:val="0034007E"/>
    <w:rsid w:val="00341205"/>
    <w:rsid w:val="00342ECB"/>
    <w:rsid w:val="00343481"/>
    <w:rsid w:val="00345044"/>
    <w:rsid w:val="00346687"/>
    <w:rsid w:val="00346DC8"/>
    <w:rsid w:val="0035023F"/>
    <w:rsid w:val="00351D36"/>
    <w:rsid w:val="00351D4F"/>
    <w:rsid w:val="00351DD3"/>
    <w:rsid w:val="00352766"/>
    <w:rsid w:val="00352B0F"/>
    <w:rsid w:val="00352D3A"/>
    <w:rsid w:val="00352D8A"/>
    <w:rsid w:val="00353191"/>
    <w:rsid w:val="00353CF8"/>
    <w:rsid w:val="00354A1C"/>
    <w:rsid w:val="0035500E"/>
    <w:rsid w:val="00355C1C"/>
    <w:rsid w:val="00356ED5"/>
    <w:rsid w:val="00357B56"/>
    <w:rsid w:val="00357CC0"/>
    <w:rsid w:val="00360D0F"/>
    <w:rsid w:val="00360E1B"/>
    <w:rsid w:val="00360FB0"/>
    <w:rsid w:val="00363585"/>
    <w:rsid w:val="0036436F"/>
    <w:rsid w:val="00364B2A"/>
    <w:rsid w:val="00365E38"/>
    <w:rsid w:val="00366115"/>
    <w:rsid w:val="00366BF5"/>
    <w:rsid w:val="00367041"/>
    <w:rsid w:val="00367A25"/>
    <w:rsid w:val="00367F3A"/>
    <w:rsid w:val="00370A7B"/>
    <w:rsid w:val="00371C61"/>
    <w:rsid w:val="00371CFF"/>
    <w:rsid w:val="0037274B"/>
    <w:rsid w:val="00372DCB"/>
    <w:rsid w:val="00373430"/>
    <w:rsid w:val="003737F6"/>
    <w:rsid w:val="00373E90"/>
    <w:rsid w:val="0037400B"/>
    <w:rsid w:val="00374505"/>
    <w:rsid w:val="00375659"/>
    <w:rsid w:val="00375779"/>
    <w:rsid w:val="0037654B"/>
    <w:rsid w:val="003800DF"/>
    <w:rsid w:val="00380C8D"/>
    <w:rsid w:val="00380DEA"/>
    <w:rsid w:val="00383CA1"/>
    <w:rsid w:val="0038425A"/>
    <w:rsid w:val="00385CB6"/>
    <w:rsid w:val="00390F6E"/>
    <w:rsid w:val="00392147"/>
    <w:rsid w:val="00392E1D"/>
    <w:rsid w:val="00393A23"/>
    <w:rsid w:val="00393EB1"/>
    <w:rsid w:val="00396F89"/>
    <w:rsid w:val="0039737A"/>
    <w:rsid w:val="003A1103"/>
    <w:rsid w:val="003A2D04"/>
    <w:rsid w:val="003A3A09"/>
    <w:rsid w:val="003A3A5D"/>
    <w:rsid w:val="003A45F7"/>
    <w:rsid w:val="003A484E"/>
    <w:rsid w:val="003A5F5F"/>
    <w:rsid w:val="003A6E6F"/>
    <w:rsid w:val="003A701E"/>
    <w:rsid w:val="003A7A27"/>
    <w:rsid w:val="003B0691"/>
    <w:rsid w:val="003B177B"/>
    <w:rsid w:val="003B1A77"/>
    <w:rsid w:val="003B304D"/>
    <w:rsid w:val="003B393E"/>
    <w:rsid w:val="003B3BE7"/>
    <w:rsid w:val="003B4BB6"/>
    <w:rsid w:val="003B5735"/>
    <w:rsid w:val="003B5CCE"/>
    <w:rsid w:val="003B6911"/>
    <w:rsid w:val="003B772F"/>
    <w:rsid w:val="003C0061"/>
    <w:rsid w:val="003C18DE"/>
    <w:rsid w:val="003C1EC6"/>
    <w:rsid w:val="003C21D3"/>
    <w:rsid w:val="003C268C"/>
    <w:rsid w:val="003C26D2"/>
    <w:rsid w:val="003C2C59"/>
    <w:rsid w:val="003C40CC"/>
    <w:rsid w:val="003C4A78"/>
    <w:rsid w:val="003C659E"/>
    <w:rsid w:val="003C666D"/>
    <w:rsid w:val="003C673C"/>
    <w:rsid w:val="003C6FA4"/>
    <w:rsid w:val="003D0560"/>
    <w:rsid w:val="003D0BFE"/>
    <w:rsid w:val="003D21DF"/>
    <w:rsid w:val="003D26E6"/>
    <w:rsid w:val="003D2F5D"/>
    <w:rsid w:val="003D4F42"/>
    <w:rsid w:val="003D4FEF"/>
    <w:rsid w:val="003D56FC"/>
    <w:rsid w:val="003D5700"/>
    <w:rsid w:val="003D65F8"/>
    <w:rsid w:val="003D6A0D"/>
    <w:rsid w:val="003D6A25"/>
    <w:rsid w:val="003D72D2"/>
    <w:rsid w:val="003D7B9E"/>
    <w:rsid w:val="003D7DCE"/>
    <w:rsid w:val="003E0DD6"/>
    <w:rsid w:val="003E10F6"/>
    <w:rsid w:val="003E149B"/>
    <w:rsid w:val="003E1AA0"/>
    <w:rsid w:val="003E1B43"/>
    <w:rsid w:val="003E24C0"/>
    <w:rsid w:val="003E34EE"/>
    <w:rsid w:val="003E3585"/>
    <w:rsid w:val="003E3BD9"/>
    <w:rsid w:val="003E52B0"/>
    <w:rsid w:val="003E5C54"/>
    <w:rsid w:val="003E5DB7"/>
    <w:rsid w:val="003E6994"/>
    <w:rsid w:val="003E69AE"/>
    <w:rsid w:val="003E6A2D"/>
    <w:rsid w:val="003E7ADA"/>
    <w:rsid w:val="003F0D7A"/>
    <w:rsid w:val="003F0F69"/>
    <w:rsid w:val="003F10D0"/>
    <w:rsid w:val="003F11F2"/>
    <w:rsid w:val="003F196E"/>
    <w:rsid w:val="003F219A"/>
    <w:rsid w:val="003F4070"/>
    <w:rsid w:val="003F4443"/>
    <w:rsid w:val="003F5180"/>
    <w:rsid w:val="003F64E0"/>
    <w:rsid w:val="003F66C5"/>
    <w:rsid w:val="003F689E"/>
    <w:rsid w:val="003F6AC1"/>
    <w:rsid w:val="003F6AC6"/>
    <w:rsid w:val="003F76BE"/>
    <w:rsid w:val="003F799B"/>
    <w:rsid w:val="004006BF"/>
    <w:rsid w:val="0040091F"/>
    <w:rsid w:val="00400C14"/>
    <w:rsid w:val="00400F37"/>
    <w:rsid w:val="004026CF"/>
    <w:rsid w:val="00405567"/>
    <w:rsid w:val="0040559E"/>
    <w:rsid w:val="00406FA2"/>
    <w:rsid w:val="004076ED"/>
    <w:rsid w:val="0041008E"/>
    <w:rsid w:val="004102E0"/>
    <w:rsid w:val="00411168"/>
    <w:rsid w:val="004116CD"/>
    <w:rsid w:val="00411B2F"/>
    <w:rsid w:val="00413253"/>
    <w:rsid w:val="00413939"/>
    <w:rsid w:val="00413C3F"/>
    <w:rsid w:val="00414F6F"/>
    <w:rsid w:val="00415524"/>
    <w:rsid w:val="004155B5"/>
    <w:rsid w:val="00415A02"/>
    <w:rsid w:val="0041611B"/>
    <w:rsid w:val="00416462"/>
    <w:rsid w:val="0041733F"/>
    <w:rsid w:val="004175CE"/>
    <w:rsid w:val="004177BB"/>
    <w:rsid w:val="00420ACC"/>
    <w:rsid w:val="00421206"/>
    <w:rsid w:val="00422264"/>
    <w:rsid w:val="00422EDF"/>
    <w:rsid w:val="0042391D"/>
    <w:rsid w:val="00424CA9"/>
    <w:rsid w:val="0042589A"/>
    <w:rsid w:val="004258FC"/>
    <w:rsid w:val="0042635A"/>
    <w:rsid w:val="00430560"/>
    <w:rsid w:val="004306FB"/>
    <w:rsid w:val="00430C30"/>
    <w:rsid w:val="00432767"/>
    <w:rsid w:val="00432F4C"/>
    <w:rsid w:val="00433C0A"/>
    <w:rsid w:val="00434F5B"/>
    <w:rsid w:val="00435770"/>
    <w:rsid w:val="00435C8E"/>
    <w:rsid w:val="0043618B"/>
    <w:rsid w:val="004372D2"/>
    <w:rsid w:val="004376A6"/>
    <w:rsid w:val="0043776C"/>
    <w:rsid w:val="004400D2"/>
    <w:rsid w:val="00440A4D"/>
    <w:rsid w:val="004412EE"/>
    <w:rsid w:val="00441592"/>
    <w:rsid w:val="004417A9"/>
    <w:rsid w:val="00441B22"/>
    <w:rsid w:val="0044291A"/>
    <w:rsid w:val="00445382"/>
    <w:rsid w:val="00446EF0"/>
    <w:rsid w:val="00447D9C"/>
    <w:rsid w:val="00447F78"/>
    <w:rsid w:val="00450617"/>
    <w:rsid w:val="00451B20"/>
    <w:rsid w:val="004524AB"/>
    <w:rsid w:val="004532FE"/>
    <w:rsid w:val="00454B2F"/>
    <w:rsid w:val="0045589F"/>
    <w:rsid w:val="0045668E"/>
    <w:rsid w:val="004566FF"/>
    <w:rsid w:val="00456B1A"/>
    <w:rsid w:val="00456E48"/>
    <w:rsid w:val="00457A8A"/>
    <w:rsid w:val="00457C2D"/>
    <w:rsid w:val="004601E0"/>
    <w:rsid w:val="00460C9A"/>
    <w:rsid w:val="00460F05"/>
    <w:rsid w:val="004613C2"/>
    <w:rsid w:val="00461DA7"/>
    <w:rsid w:val="004627A4"/>
    <w:rsid w:val="0046287E"/>
    <w:rsid w:val="004653F8"/>
    <w:rsid w:val="004654D2"/>
    <w:rsid w:val="00465BBB"/>
    <w:rsid w:val="00465EE1"/>
    <w:rsid w:val="00466C26"/>
    <w:rsid w:val="004709B2"/>
    <w:rsid w:val="004709B9"/>
    <w:rsid w:val="00471096"/>
    <w:rsid w:val="00471378"/>
    <w:rsid w:val="00473017"/>
    <w:rsid w:val="004734E3"/>
    <w:rsid w:val="00473AFE"/>
    <w:rsid w:val="00474A59"/>
    <w:rsid w:val="00474C86"/>
    <w:rsid w:val="00474C8A"/>
    <w:rsid w:val="00474DA7"/>
    <w:rsid w:val="00475C28"/>
    <w:rsid w:val="00475C3E"/>
    <w:rsid w:val="0047607F"/>
    <w:rsid w:val="00477B7A"/>
    <w:rsid w:val="00477BDA"/>
    <w:rsid w:val="00481F36"/>
    <w:rsid w:val="0048361A"/>
    <w:rsid w:val="00483A98"/>
    <w:rsid w:val="004849C6"/>
    <w:rsid w:val="00484BD6"/>
    <w:rsid w:val="00484FB8"/>
    <w:rsid w:val="004855B6"/>
    <w:rsid w:val="004862F6"/>
    <w:rsid w:val="004865A1"/>
    <w:rsid w:val="0049001B"/>
    <w:rsid w:val="004902D8"/>
    <w:rsid w:val="004907F0"/>
    <w:rsid w:val="0049119D"/>
    <w:rsid w:val="004917BC"/>
    <w:rsid w:val="00491AFC"/>
    <w:rsid w:val="00491DA1"/>
    <w:rsid w:val="00492805"/>
    <w:rsid w:val="004931D4"/>
    <w:rsid w:val="00493B4B"/>
    <w:rsid w:val="00493F30"/>
    <w:rsid w:val="0049446F"/>
    <w:rsid w:val="00494BD0"/>
    <w:rsid w:val="00495051"/>
    <w:rsid w:val="00495DA1"/>
    <w:rsid w:val="004968B4"/>
    <w:rsid w:val="00496C20"/>
    <w:rsid w:val="00496F97"/>
    <w:rsid w:val="0049700A"/>
    <w:rsid w:val="004A1A6F"/>
    <w:rsid w:val="004A1CEB"/>
    <w:rsid w:val="004A1E07"/>
    <w:rsid w:val="004A1F68"/>
    <w:rsid w:val="004A20BE"/>
    <w:rsid w:val="004A2846"/>
    <w:rsid w:val="004A364F"/>
    <w:rsid w:val="004A4059"/>
    <w:rsid w:val="004A4953"/>
    <w:rsid w:val="004A5A91"/>
    <w:rsid w:val="004A5E08"/>
    <w:rsid w:val="004A60E3"/>
    <w:rsid w:val="004A701C"/>
    <w:rsid w:val="004A7454"/>
    <w:rsid w:val="004A7DCD"/>
    <w:rsid w:val="004A7E50"/>
    <w:rsid w:val="004B051C"/>
    <w:rsid w:val="004B0D68"/>
    <w:rsid w:val="004B2D7B"/>
    <w:rsid w:val="004B337C"/>
    <w:rsid w:val="004B4A3C"/>
    <w:rsid w:val="004B501A"/>
    <w:rsid w:val="004B5959"/>
    <w:rsid w:val="004B6518"/>
    <w:rsid w:val="004B6DB1"/>
    <w:rsid w:val="004B6FF6"/>
    <w:rsid w:val="004B75B7"/>
    <w:rsid w:val="004B7905"/>
    <w:rsid w:val="004B7977"/>
    <w:rsid w:val="004C02E7"/>
    <w:rsid w:val="004C079D"/>
    <w:rsid w:val="004C14CC"/>
    <w:rsid w:val="004C224D"/>
    <w:rsid w:val="004C4F80"/>
    <w:rsid w:val="004C7EB0"/>
    <w:rsid w:val="004D22EA"/>
    <w:rsid w:val="004D2BAF"/>
    <w:rsid w:val="004D2C49"/>
    <w:rsid w:val="004D32A0"/>
    <w:rsid w:val="004D3D91"/>
    <w:rsid w:val="004D43D9"/>
    <w:rsid w:val="004D573A"/>
    <w:rsid w:val="004D5D6E"/>
    <w:rsid w:val="004D5E1F"/>
    <w:rsid w:val="004D5E36"/>
    <w:rsid w:val="004D6326"/>
    <w:rsid w:val="004D660C"/>
    <w:rsid w:val="004D6736"/>
    <w:rsid w:val="004D68B7"/>
    <w:rsid w:val="004D6F1F"/>
    <w:rsid w:val="004D6FFE"/>
    <w:rsid w:val="004D722B"/>
    <w:rsid w:val="004D7321"/>
    <w:rsid w:val="004E09A7"/>
    <w:rsid w:val="004E3270"/>
    <w:rsid w:val="004E72A3"/>
    <w:rsid w:val="004E7C15"/>
    <w:rsid w:val="004F066C"/>
    <w:rsid w:val="004F0A4F"/>
    <w:rsid w:val="004F10E6"/>
    <w:rsid w:val="004F138B"/>
    <w:rsid w:val="004F4260"/>
    <w:rsid w:val="004F4AD7"/>
    <w:rsid w:val="004F4F13"/>
    <w:rsid w:val="004F5048"/>
    <w:rsid w:val="004F5980"/>
    <w:rsid w:val="004F59AB"/>
    <w:rsid w:val="004F5D20"/>
    <w:rsid w:val="005009ED"/>
    <w:rsid w:val="00501BD5"/>
    <w:rsid w:val="00501DD5"/>
    <w:rsid w:val="00501E96"/>
    <w:rsid w:val="00501ED4"/>
    <w:rsid w:val="005023D4"/>
    <w:rsid w:val="00502747"/>
    <w:rsid w:val="005034D8"/>
    <w:rsid w:val="00505B0D"/>
    <w:rsid w:val="00506646"/>
    <w:rsid w:val="00506F71"/>
    <w:rsid w:val="00507287"/>
    <w:rsid w:val="005072C0"/>
    <w:rsid w:val="00507B09"/>
    <w:rsid w:val="005101DF"/>
    <w:rsid w:val="005107A0"/>
    <w:rsid w:val="00510F78"/>
    <w:rsid w:val="00511832"/>
    <w:rsid w:val="00511EB6"/>
    <w:rsid w:val="005120EA"/>
    <w:rsid w:val="0051216A"/>
    <w:rsid w:val="005126D4"/>
    <w:rsid w:val="00512C4F"/>
    <w:rsid w:val="00514280"/>
    <w:rsid w:val="00515020"/>
    <w:rsid w:val="00515803"/>
    <w:rsid w:val="00516B8D"/>
    <w:rsid w:val="00516F1A"/>
    <w:rsid w:val="0052057C"/>
    <w:rsid w:val="00520AD7"/>
    <w:rsid w:val="00521AB3"/>
    <w:rsid w:val="00521C8E"/>
    <w:rsid w:val="005225EA"/>
    <w:rsid w:val="00522819"/>
    <w:rsid w:val="00523652"/>
    <w:rsid w:val="00523660"/>
    <w:rsid w:val="0052481E"/>
    <w:rsid w:val="00525338"/>
    <w:rsid w:val="005262F0"/>
    <w:rsid w:val="00526357"/>
    <w:rsid w:val="00526C3D"/>
    <w:rsid w:val="00526C65"/>
    <w:rsid w:val="00527F87"/>
    <w:rsid w:val="00530504"/>
    <w:rsid w:val="0053212C"/>
    <w:rsid w:val="00533178"/>
    <w:rsid w:val="005332BA"/>
    <w:rsid w:val="00533C6C"/>
    <w:rsid w:val="00533CE6"/>
    <w:rsid w:val="00534346"/>
    <w:rsid w:val="0053438B"/>
    <w:rsid w:val="005348D7"/>
    <w:rsid w:val="005356E8"/>
    <w:rsid w:val="00535DA8"/>
    <w:rsid w:val="00535FFC"/>
    <w:rsid w:val="00536377"/>
    <w:rsid w:val="0053727B"/>
    <w:rsid w:val="005373E8"/>
    <w:rsid w:val="00537794"/>
    <w:rsid w:val="00537F58"/>
    <w:rsid w:val="00537FBC"/>
    <w:rsid w:val="00540212"/>
    <w:rsid w:val="0054021B"/>
    <w:rsid w:val="005406F4"/>
    <w:rsid w:val="00540E25"/>
    <w:rsid w:val="005413DA"/>
    <w:rsid w:val="00541891"/>
    <w:rsid w:val="00542C8F"/>
    <w:rsid w:val="00542EF9"/>
    <w:rsid w:val="00542FC1"/>
    <w:rsid w:val="005432C1"/>
    <w:rsid w:val="0054483C"/>
    <w:rsid w:val="00544BC3"/>
    <w:rsid w:val="00544E03"/>
    <w:rsid w:val="00545636"/>
    <w:rsid w:val="0054638E"/>
    <w:rsid w:val="00547D87"/>
    <w:rsid w:val="00551815"/>
    <w:rsid w:val="00551EDD"/>
    <w:rsid w:val="00553491"/>
    <w:rsid w:val="00553A4A"/>
    <w:rsid w:val="00553C04"/>
    <w:rsid w:val="00553F36"/>
    <w:rsid w:val="005547CD"/>
    <w:rsid w:val="00556649"/>
    <w:rsid w:val="005568F0"/>
    <w:rsid w:val="00556D72"/>
    <w:rsid w:val="00560B62"/>
    <w:rsid w:val="00560D7A"/>
    <w:rsid w:val="00560EDE"/>
    <w:rsid w:val="00561078"/>
    <w:rsid w:val="005616EB"/>
    <w:rsid w:val="00561853"/>
    <w:rsid w:val="005620B3"/>
    <w:rsid w:val="005629C8"/>
    <w:rsid w:val="005633BF"/>
    <w:rsid w:val="0056370F"/>
    <w:rsid w:val="0056628F"/>
    <w:rsid w:val="005668C8"/>
    <w:rsid w:val="005670B9"/>
    <w:rsid w:val="00570666"/>
    <w:rsid w:val="00570FD2"/>
    <w:rsid w:val="0057232B"/>
    <w:rsid w:val="00572614"/>
    <w:rsid w:val="005735D0"/>
    <w:rsid w:val="00573B38"/>
    <w:rsid w:val="00574CB5"/>
    <w:rsid w:val="0057512E"/>
    <w:rsid w:val="00576525"/>
    <w:rsid w:val="0057693D"/>
    <w:rsid w:val="0057720C"/>
    <w:rsid w:val="005776FA"/>
    <w:rsid w:val="005778A9"/>
    <w:rsid w:val="00580155"/>
    <w:rsid w:val="00581C3E"/>
    <w:rsid w:val="005822D2"/>
    <w:rsid w:val="00583170"/>
    <w:rsid w:val="00583239"/>
    <w:rsid w:val="00583C05"/>
    <w:rsid w:val="00584337"/>
    <w:rsid w:val="00584811"/>
    <w:rsid w:val="00584ABD"/>
    <w:rsid w:val="00584BA4"/>
    <w:rsid w:val="00584C52"/>
    <w:rsid w:val="0058533F"/>
    <w:rsid w:val="00586519"/>
    <w:rsid w:val="0058659D"/>
    <w:rsid w:val="005866AE"/>
    <w:rsid w:val="00586A28"/>
    <w:rsid w:val="00590137"/>
    <w:rsid w:val="00590215"/>
    <w:rsid w:val="00590636"/>
    <w:rsid w:val="00590BCB"/>
    <w:rsid w:val="00590EB9"/>
    <w:rsid w:val="00590F3B"/>
    <w:rsid w:val="00591F25"/>
    <w:rsid w:val="0059231B"/>
    <w:rsid w:val="005927C4"/>
    <w:rsid w:val="0059379C"/>
    <w:rsid w:val="00593D05"/>
    <w:rsid w:val="00594161"/>
    <w:rsid w:val="00594749"/>
    <w:rsid w:val="00594AC1"/>
    <w:rsid w:val="00594D1B"/>
    <w:rsid w:val="00594F27"/>
    <w:rsid w:val="00595D07"/>
    <w:rsid w:val="00595FCC"/>
    <w:rsid w:val="005A1567"/>
    <w:rsid w:val="005A2961"/>
    <w:rsid w:val="005A4436"/>
    <w:rsid w:val="005A5050"/>
    <w:rsid w:val="005A5DD7"/>
    <w:rsid w:val="005A7E70"/>
    <w:rsid w:val="005B06DE"/>
    <w:rsid w:val="005B0CC1"/>
    <w:rsid w:val="005B289E"/>
    <w:rsid w:val="005B3467"/>
    <w:rsid w:val="005B5BE5"/>
    <w:rsid w:val="005B6707"/>
    <w:rsid w:val="005B70D6"/>
    <w:rsid w:val="005B7512"/>
    <w:rsid w:val="005B7B00"/>
    <w:rsid w:val="005C1505"/>
    <w:rsid w:val="005C17A5"/>
    <w:rsid w:val="005C17B2"/>
    <w:rsid w:val="005C32AB"/>
    <w:rsid w:val="005C35FC"/>
    <w:rsid w:val="005C3B10"/>
    <w:rsid w:val="005C3D38"/>
    <w:rsid w:val="005C434C"/>
    <w:rsid w:val="005C479C"/>
    <w:rsid w:val="005C4F1B"/>
    <w:rsid w:val="005C51F9"/>
    <w:rsid w:val="005C634F"/>
    <w:rsid w:val="005C704A"/>
    <w:rsid w:val="005C7380"/>
    <w:rsid w:val="005C76A8"/>
    <w:rsid w:val="005C7DD1"/>
    <w:rsid w:val="005D12FF"/>
    <w:rsid w:val="005D23D6"/>
    <w:rsid w:val="005D3FE1"/>
    <w:rsid w:val="005D462A"/>
    <w:rsid w:val="005D4FA1"/>
    <w:rsid w:val="005D53B9"/>
    <w:rsid w:val="005D53FB"/>
    <w:rsid w:val="005D5721"/>
    <w:rsid w:val="005D59AF"/>
    <w:rsid w:val="005D5C62"/>
    <w:rsid w:val="005D5D75"/>
    <w:rsid w:val="005D78F5"/>
    <w:rsid w:val="005E02BD"/>
    <w:rsid w:val="005E17A0"/>
    <w:rsid w:val="005E1836"/>
    <w:rsid w:val="005E18FF"/>
    <w:rsid w:val="005E23E3"/>
    <w:rsid w:val="005E3ED2"/>
    <w:rsid w:val="005E410D"/>
    <w:rsid w:val="005E43D2"/>
    <w:rsid w:val="005E43E4"/>
    <w:rsid w:val="005E51E6"/>
    <w:rsid w:val="005E52D2"/>
    <w:rsid w:val="005E5B85"/>
    <w:rsid w:val="005E60CE"/>
    <w:rsid w:val="005E74E1"/>
    <w:rsid w:val="005F0B1C"/>
    <w:rsid w:val="005F1193"/>
    <w:rsid w:val="005F13C7"/>
    <w:rsid w:val="005F142B"/>
    <w:rsid w:val="005F1ED4"/>
    <w:rsid w:val="005F2A7F"/>
    <w:rsid w:val="005F3735"/>
    <w:rsid w:val="005F4137"/>
    <w:rsid w:val="005F6AB6"/>
    <w:rsid w:val="005F6CAB"/>
    <w:rsid w:val="005F6D40"/>
    <w:rsid w:val="005F6DDD"/>
    <w:rsid w:val="005F6F9D"/>
    <w:rsid w:val="00600219"/>
    <w:rsid w:val="006014BA"/>
    <w:rsid w:val="00601D1D"/>
    <w:rsid w:val="006028D5"/>
    <w:rsid w:val="00603316"/>
    <w:rsid w:val="00606020"/>
    <w:rsid w:val="00606988"/>
    <w:rsid w:val="00607FC8"/>
    <w:rsid w:val="00610D12"/>
    <w:rsid w:val="00610DF6"/>
    <w:rsid w:val="0061121A"/>
    <w:rsid w:val="00611E3A"/>
    <w:rsid w:val="00612122"/>
    <w:rsid w:val="006126AD"/>
    <w:rsid w:val="00612949"/>
    <w:rsid w:val="00613125"/>
    <w:rsid w:val="00613359"/>
    <w:rsid w:val="00613D04"/>
    <w:rsid w:val="0061475C"/>
    <w:rsid w:val="006151E8"/>
    <w:rsid w:val="0061540A"/>
    <w:rsid w:val="00616A32"/>
    <w:rsid w:val="00616DEC"/>
    <w:rsid w:val="006207A3"/>
    <w:rsid w:val="00620ACF"/>
    <w:rsid w:val="00621A70"/>
    <w:rsid w:val="0062271E"/>
    <w:rsid w:val="00622CC0"/>
    <w:rsid w:val="0062362E"/>
    <w:rsid w:val="00623BAD"/>
    <w:rsid w:val="006240EF"/>
    <w:rsid w:val="006243FE"/>
    <w:rsid w:val="00625FF9"/>
    <w:rsid w:val="00627036"/>
    <w:rsid w:val="006270E3"/>
    <w:rsid w:val="00627737"/>
    <w:rsid w:val="0063067D"/>
    <w:rsid w:val="006306BD"/>
    <w:rsid w:val="00632A07"/>
    <w:rsid w:val="00633C14"/>
    <w:rsid w:val="0063421B"/>
    <w:rsid w:val="00634B6B"/>
    <w:rsid w:val="00635CA4"/>
    <w:rsid w:val="00636215"/>
    <w:rsid w:val="00637CF2"/>
    <w:rsid w:val="00642748"/>
    <w:rsid w:val="0064393A"/>
    <w:rsid w:val="00643B0E"/>
    <w:rsid w:val="00644DF1"/>
    <w:rsid w:val="00645110"/>
    <w:rsid w:val="00646149"/>
    <w:rsid w:val="006471C1"/>
    <w:rsid w:val="00651AB0"/>
    <w:rsid w:val="00651C41"/>
    <w:rsid w:val="006521A2"/>
    <w:rsid w:val="006527F5"/>
    <w:rsid w:val="00653F31"/>
    <w:rsid w:val="00653FBE"/>
    <w:rsid w:val="00654035"/>
    <w:rsid w:val="00654111"/>
    <w:rsid w:val="006543F6"/>
    <w:rsid w:val="00655352"/>
    <w:rsid w:val="00655E01"/>
    <w:rsid w:val="006565D0"/>
    <w:rsid w:val="00656E9F"/>
    <w:rsid w:val="00656FE2"/>
    <w:rsid w:val="006571E6"/>
    <w:rsid w:val="00657835"/>
    <w:rsid w:val="00657ACF"/>
    <w:rsid w:val="00657C3D"/>
    <w:rsid w:val="00657CF9"/>
    <w:rsid w:val="0066047C"/>
    <w:rsid w:val="00661713"/>
    <w:rsid w:val="006617DC"/>
    <w:rsid w:val="006623ED"/>
    <w:rsid w:val="0066424A"/>
    <w:rsid w:val="006644F3"/>
    <w:rsid w:val="00664EEF"/>
    <w:rsid w:val="00666407"/>
    <w:rsid w:val="00666A2F"/>
    <w:rsid w:val="00667939"/>
    <w:rsid w:val="00667B5A"/>
    <w:rsid w:val="00667D98"/>
    <w:rsid w:val="00671909"/>
    <w:rsid w:val="006722C6"/>
    <w:rsid w:val="006734B9"/>
    <w:rsid w:val="0067432B"/>
    <w:rsid w:val="006745E8"/>
    <w:rsid w:val="00674F2E"/>
    <w:rsid w:val="006752B0"/>
    <w:rsid w:val="00676A1A"/>
    <w:rsid w:val="006772E1"/>
    <w:rsid w:val="0067767F"/>
    <w:rsid w:val="0067768A"/>
    <w:rsid w:val="00677747"/>
    <w:rsid w:val="00677CC2"/>
    <w:rsid w:val="00680096"/>
    <w:rsid w:val="006801CB"/>
    <w:rsid w:val="006804BA"/>
    <w:rsid w:val="00680F77"/>
    <w:rsid w:val="006818D7"/>
    <w:rsid w:val="00681990"/>
    <w:rsid w:val="006841C2"/>
    <w:rsid w:val="0068547C"/>
    <w:rsid w:val="00685C10"/>
    <w:rsid w:val="00686473"/>
    <w:rsid w:val="006878FB"/>
    <w:rsid w:val="006879C8"/>
    <w:rsid w:val="00687C96"/>
    <w:rsid w:val="006903BF"/>
    <w:rsid w:val="006916C9"/>
    <w:rsid w:val="00691938"/>
    <w:rsid w:val="0069207B"/>
    <w:rsid w:val="00694209"/>
    <w:rsid w:val="00694257"/>
    <w:rsid w:val="0069472E"/>
    <w:rsid w:val="00695538"/>
    <w:rsid w:val="0069595F"/>
    <w:rsid w:val="00695D7B"/>
    <w:rsid w:val="00696773"/>
    <w:rsid w:val="00696F43"/>
    <w:rsid w:val="0069735A"/>
    <w:rsid w:val="00697958"/>
    <w:rsid w:val="006979ED"/>
    <w:rsid w:val="006A0B21"/>
    <w:rsid w:val="006A174A"/>
    <w:rsid w:val="006A28BE"/>
    <w:rsid w:val="006A295F"/>
    <w:rsid w:val="006A297D"/>
    <w:rsid w:val="006A411F"/>
    <w:rsid w:val="006A41F1"/>
    <w:rsid w:val="006A47DC"/>
    <w:rsid w:val="006A5059"/>
    <w:rsid w:val="006A5AC5"/>
    <w:rsid w:val="006A643F"/>
    <w:rsid w:val="006A746E"/>
    <w:rsid w:val="006B01B4"/>
    <w:rsid w:val="006B02F8"/>
    <w:rsid w:val="006B075A"/>
    <w:rsid w:val="006B092E"/>
    <w:rsid w:val="006B148A"/>
    <w:rsid w:val="006B2369"/>
    <w:rsid w:val="006B25C6"/>
    <w:rsid w:val="006B2980"/>
    <w:rsid w:val="006B2FE8"/>
    <w:rsid w:val="006B390D"/>
    <w:rsid w:val="006B39E4"/>
    <w:rsid w:val="006B43C9"/>
    <w:rsid w:val="006B5664"/>
    <w:rsid w:val="006B5C06"/>
    <w:rsid w:val="006B7483"/>
    <w:rsid w:val="006B771B"/>
    <w:rsid w:val="006C150C"/>
    <w:rsid w:val="006C1816"/>
    <w:rsid w:val="006C1DCB"/>
    <w:rsid w:val="006C33D9"/>
    <w:rsid w:val="006C3571"/>
    <w:rsid w:val="006C36A7"/>
    <w:rsid w:val="006C416A"/>
    <w:rsid w:val="006C574C"/>
    <w:rsid w:val="006C5816"/>
    <w:rsid w:val="006C5D41"/>
    <w:rsid w:val="006C5E78"/>
    <w:rsid w:val="006C65DC"/>
    <w:rsid w:val="006C679B"/>
    <w:rsid w:val="006C7F8C"/>
    <w:rsid w:val="006D0DCB"/>
    <w:rsid w:val="006D1E1A"/>
    <w:rsid w:val="006D2E7E"/>
    <w:rsid w:val="006D369A"/>
    <w:rsid w:val="006D6017"/>
    <w:rsid w:val="006D6058"/>
    <w:rsid w:val="006D66B5"/>
    <w:rsid w:val="006D6D32"/>
    <w:rsid w:val="006E02C4"/>
    <w:rsid w:val="006E0DEE"/>
    <w:rsid w:val="006E1675"/>
    <w:rsid w:val="006E3AD4"/>
    <w:rsid w:val="006E4178"/>
    <w:rsid w:val="006E54E4"/>
    <w:rsid w:val="006E5AF4"/>
    <w:rsid w:val="006E6365"/>
    <w:rsid w:val="006E64AD"/>
    <w:rsid w:val="006E6E26"/>
    <w:rsid w:val="006F0E2B"/>
    <w:rsid w:val="006F0E5E"/>
    <w:rsid w:val="006F1457"/>
    <w:rsid w:val="006F1547"/>
    <w:rsid w:val="006F182D"/>
    <w:rsid w:val="006F27AC"/>
    <w:rsid w:val="006F2958"/>
    <w:rsid w:val="006F3492"/>
    <w:rsid w:val="006F383F"/>
    <w:rsid w:val="006F45CA"/>
    <w:rsid w:val="006F5080"/>
    <w:rsid w:val="006F531A"/>
    <w:rsid w:val="006F5D28"/>
    <w:rsid w:val="006F667E"/>
    <w:rsid w:val="006F66BD"/>
    <w:rsid w:val="006F67CE"/>
    <w:rsid w:val="006F78A0"/>
    <w:rsid w:val="00701BF0"/>
    <w:rsid w:val="00704905"/>
    <w:rsid w:val="00705A89"/>
    <w:rsid w:val="00705AF3"/>
    <w:rsid w:val="00705E35"/>
    <w:rsid w:val="0070663F"/>
    <w:rsid w:val="00707273"/>
    <w:rsid w:val="00707E89"/>
    <w:rsid w:val="00707F19"/>
    <w:rsid w:val="00711032"/>
    <w:rsid w:val="00711AC5"/>
    <w:rsid w:val="00712F89"/>
    <w:rsid w:val="007136C5"/>
    <w:rsid w:val="00714D90"/>
    <w:rsid w:val="0071512E"/>
    <w:rsid w:val="00715222"/>
    <w:rsid w:val="007158A5"/>
    <w:rsid w:val="00715EC3"/>
    <w:rsid w:val="007163A9"/>
    <w:rsid w:val="00716A4B"/>
    <w:rsid w:val="00716F51"/>
    <w:rsid w:val="00717460"/>
    <w:rsid w:val="007213CE"/>
    <w:rsid w:val="00721745"/>
    <w:rsid w:val="00723930"/>
    <w:rsid w:val="007240A2"/>
    <w:rsid w:val="00725DB6"/>
    <w:rsid w:val="0072680C"/>
    <w:rsid w:val="00726CD6"/>
    <w:rsid w:val="007276BC"/>
    <w:rsid w:val="00727ED5"/>
    <w:rsid w:val="00731E00"/>
    <w:rsid w:val="00732251"/>
    <w:rsid w:val="00732846"/>
    <w:rsid w:val="00732F07"/>
    <w:rsid w:val="00733990"/>
    <w:rsid w:val="00734688"/>
    <w:rsid w:val="00734835"/>
    <w:rsid w:val="00734AB2"/>
    <w:rsid w:val="00734CC0"/>
    <w:rsid w:val="00736102"/>
    <w:rsid w:val="00736436"/>
    <w:rsid w:val="007367D7"/>
    <w:rsid w:val="00736E73"/>
    <w:rsid w:val="00740B60"/>
    <w:rsid w:val="00740FA1"/>
    <w:rsid w:val="00741192"/>
    <w:rsid w:val="00743BCD"/>
    <w:rsid w:val="00743D36"/>
    <w:rsid w:val="00743D3F"/>
    <w:rsid w:val="00743D59"/>
    <w:rsid w:val="00743F0A"/>
    <w:rsid w:val="007446F7"/>
    <w:rsid w:val="007447B8"/>
    <w:rsid w:val="00744D9B"/>
    <w:rsid w:val="00745466"/>
    <w:rsid w:val="00745581"/>
    <w:rsid w:val="00746A03"/>
    <w:rsid w:val="00746EB4"/>
    <w:rsid w:val="00747A0D"/>
    <w:rsid w:val="00747C5A"/>
    <w:rsid w:val="0075000D"/>
    <w:rsid w:val="00750553"/>
    <w:rsid w:val="007510E6"/>
    <w:rsid w:val="007512AF"/>
    <w:rsid w:val="00752C10"/>
    <w:rsid w:val="00752D2B"/>
    <w:rsid w:val="00753053"/>
    <w:rsid w:val="0075333F"/>
    <w:rsid w:val="0075519E"/>
    <w:rsid w:val="007552BB"/>
    <w:rsid w:val="00756824"/>
    <w:rsid w:val="00756A1D"/>
    <w:rsid w:val="00756F20"/>
    <w:rsid w:val="007571BF"/>
    <w:rsid w:val="007576E9"/>
    <w:rsid w:val="00757790"/>
    <w:rsid w:val="00757A32"/>
    <w:rsid w:val="007608E8"/>
    <w:rsid w:val="0076128F"/>
    <w:rsid w:val="00761729"/>
    <w:rsid w:val="007634B3"/>
    <w:rsid w:val="00763D98"/>
    <w:rsid w:val="00763DBC"/>
    <w:rsid w:val="00763E50"/>
    <w:rsid w:val="007648A2"/>
    <w:rsid w:val="007653B3"/>
    <w:rsid w:val="007658F1"/>
    <w:rsid w:val="00766583"/>
    <w:rsid w:val="0076692A"/>
    <w:rsid w:val="0076796E"/>
    <w:rsid w:val="007703F0"/>
    <w:rsid w:val="0077071A"/>
    <w:rsid w:val="00770C13"/>
    <w:rsid w:val="00770CA8"/>
    <w:rsid w:val="007711A6"/>
    <w:rsid w:val="007715C9"/>
    <w:rsid w:val="0077418C"/>
    <w:rsid w:val="00774EDD"/>
    <w:rsid w:val="007757EC"/>
    <w:rsid w:val="00775BFB"/>
    <w:rsid w:val="00776484"/>
    <w:rsid w:val="00776809"/>
    <w:rsid w:val="007774D2"/>
    <w:rsid w:val="0077772E"/>
    <w:rsid w:val="00780039"/>
    <w:rsid w:val="00780267"/>
    <w:rsid w:val="007802C0"/>
    <w:rsid w:val="007809FB"/>
    <w:rsid w:val="00781164"/>
    <w:rsid w:val="00781271"/>
    <w:rsid w:val="00782976"/>
    <w:rsid w:val="00783AC0"/>
    <w:rsid w:val="00783E22"/>
    <w:rsid w:val="007841D1"/>
    <w:rsid w:val="007869D8"/>
    <w:rsid w:val="007873C4"/>
    <w:rsid w:val="007878F5"/>
    <w:rsid w:val="00790633"/>
    <w:rsid w:val="00790C20"/>
    <w:rsid w:val="00790E75"/>
    <w:rsid w:val="007918A6"/>
    <w:rsid w:val="00791CD4"/>
    <w:rsid w:val="00796E6B"/>
    <w:rsid w:val="00797390"/>
    <w:rsid w:val="00797AC1"/>
    <w:rsid w:val="00797E44"/>
    <w:rsid w:val="00797F00"/>
    <w:rsid w:val="007A0161"/>
    <w:rsid w:val="007A03DA"/>
    <w:rsid w:val="007A0E7F"/>
    <w:rsid w:val="007A15A7"/>
    <w:rsid w:val="007A3092"/>
    <w:rsid w:val="007A3347"/>
    <w:rsid w:val="007A374F"/>
    <w:rsid w:val="007A4898"/>
    <w:rsid w:val="007A4D07"/>
    <w:rsid w:val="007A53CA"/>
    <w:rsid w:val="007A5D17"/>
    <w:rsid w:val="007A7264"/>
    <w:rsid w:val="007A7AC2"/>
    <w:rsid w:val="007B0AE3"/>
    <w:rsid w:val="007B0F44"/>
    <w:rsid w:val="007B1A77"/>
    <w:rsid w:val="007B1D3C"/>
    <w:rsid w:val="007B20C9"/>
    <w:rsid w:val="007B496F"/>
    <w:rsid w:val="007B59C6"/>
    <w:rsid w:val="007B5CA7"/>
    <w:rsid w:val="007B65A4"/>
    <w:rsid w:val="007B7E58"/>
    <w:rsid w:val="007C0F04"/>
    <w:rsid w:val="007C2422"/>
    <w:rsid w:val="007C2AC6"/>
    <w:rsid w:val="007C45FB"/>
    <w:rsid w:val="007C4F05"/>
    <w:rsid w:val="007C54F0"/>
    <w:rsid w:val="007C560F"/>
    <w:rsid w:val="007C7BA9"/>
    <w:rsid w:val="007D06F3"/>
    <w:rsid w:val="007D09F9"/>
    <w:rsid w:val="007D10B4"/>
    <w:rsid w:val="007D2AA2"/>
    <w:rsid w:val="007D44FE"/>
    <w:rsid w:val="007D54B9"/>
    <w:rsid w:val="007D6093"/>
    <w:rsid w:val="007D61BE"/>
    <w:rsid w:val="007D63BE"/>
    <w:rsid w:val="007D6404"/>
    <w:rsid w:val="007D7235"/>
    <w:rsid w:val="007D748F"/>
    <w:rsid w:val="007D75E4"/>
    <w:rsid w:val="007D7DEF"/>
    <w:rsid w:val="007E0322"/>
    <w:rsid w:val="007E11F9"/>
    <w:rsid w:val="007E13AF"/>
    <w:rsid w:val="007E1845"/>
    <w:rsid w:val="007E1D05"/>
    <w:rsid w:val="007E368F"/>
    <w:rsid w:val="007E3EEF"/>
    <w:rsid w:val="007E410E"/>
    <w:rsid w:val="007E4AB9"/>
    <w:rsid w:val="007E4C17"/>
    <w:rsid w:val="007E57AB"/>
    <w:rsid w:val="007E57B1"/>
    <w:rsid w:val="007E5A70"/>
    <w:rsid w:val="007F0A4E"/>
    <w:rsid w:val="007F0C4E"/>
    <w:rsid w:val="007F21B5"/>
    <w:rsid w:val="007F23DD"/>
    <w:rsid w:val="007F38AE"/>
    <w:rsid w:val="007F4192"/>
    <w:rsid w:val="007F552D"/>
    <w:rsid w:val="007F5C32"/>
    <w:rsid w:val="007F6809"/>
    <w:rsid w:val="007F7848"/>
    <w:rsid w:val="007F78B5"/>
    <w:rsid w:val="0080076C"/>
    <w:rsid w:val="008008EF"/>
    <w:rsid w:val="00802508"/>
    <w:rsid w:val="00802D94"/>
    <w:rsid w:val="00803206"/>
    <w:rsid w:val="008039FC"/>
    <w:rsid w:val="00803BC1"/>
    <w:rsid w:val="00804A3B"/>
    <w:rsid w:val="00805802"/>
    <w:rsid w:val="00805ED3"/>
    <w:rsid w:val="008076B4"/>
    <w:rsid w:val="008103ED"/>
    <w:rsid w:val="00810525"/>
    <w:rsid w:val="008106E7"/>
    <w:rsid w:val="008112A2"/>
    <w:rsid w:val="008116C5"/>
    <w:rsid w:val="00811736"/>
    <w:rsid w:val="008123DC"/>
    <w:rsid w:val="00814B7F"/>
    <w:rsid w:val="0081626B"/>
    <w:rsid w:val="00816EA0"/>
    <w:rsid w:val="00816F93"/>
    <w:rsid w:val="00820B26"/>
    <w:rsid w:val="00820BF0"/>
    <w:rsid w:val="0082126F"/>
    <w:rsid w:val="00822C5D"/>
    <w:rsid w:val="008230A8"/>
    <w:rsid w:val="008235D5"/>
    <w:rsid w:val="008240EB"/>
    <w:rsid w:val="00826103"/>
    <w:rsid w:val="008261DD"/>
    <w:rsid w:val="008262BB"/>
    <w:rsid w:val="0082723A"/>
    <w:rsid w:val="00831095"/>
    <w:rsid w:val="008310E0"/>
    <w:rsid w:val="00831645"/>
    <w:rsid w:val="0083197E"/>
    <w:rsid w:val="00831E79"/>
    <w:rsid w:val="00831FF8"/>
    <w:rsid w:val="00832433"/>
    <w:rsid w:val="00832612"/>
    <w:rsid w:val="00832914"/>
    <w:rsid w:val="00832970"/>
    <w:rsid w:val="00833171"/>
    <w:rsid w:val="0083549F"/>
    <w:rsid w:val="00835825"/>
    <w:rsid w:val="0083647F"/>
    <w:rsid w:val="008373F5"/>
    <w:rsid w:val="0084047D"/>
    <w:rsid w:val="008418CD"/>
    <w:rsid w:val="008419E3"/>
    <w:rsid w:val="00843692"/>
    <w:rsid w:val="00845F4C"/>
    <w:rsid w:val="00845FE6"/>
    <w:rsid w:val="00847D72"/>
    <w:rsid w:val="0085013C"/>
    <w:rsid w:val="0085041E"/>
    <w:rsid w:val="0085051C"/>
    <w:rsid w:val="008505C7"/>
    <w:rsid w:val="00850BC0"/>
    <w:rsid w:val="00850D29"/>
    <w:rsid w:val="00851693"/>
    <w:rsid w:val="00851804"/>
    <w:rsid w:val="00851C76"/>
    <w:rsid w:val="00852B5C"/>
    <w:rsid w:val="00852D8B"/>
    <w:rsid w:val="00852F6E"/>
    <w:rsid w:val="00853D8C"/>
    <w:rsid w:val="00853F83"/>
    <w:rsid w:val="00856975"/>
    <w:rsid w:val="008569FD"/>
    <w:rsid w:val="00856A31"/>
    <w:rsid w:val="008576F7"/>
    <w:rsid w:val="008612E1"/>
    <w:rsid w:val="00861ADB"/>
    <w:rsid w:val="00863110"/>
    <w:rsid w:val="00863427"/>
    <w:rsid w:val="00863A78"/>
    <w:rsid w:val="00863F33"/>
    <w:rsid w:val="008652CF"/>
    <w:rsid w:val="00865F8E"/>
    <w:rsid w:val="008668BF"/>
    <w:rsid w:val="00867179"/>
    <w:rsid w:val="00867AF2"/>
    <w:rsid w:val="00867B4F"/>
    <w:rsid w:val="008710AE"/>
    <w:rsid w:val="00871674"/>
    <w:rsid w:val="00872286"/>
    <w:rsid w:val="0087229A"/>
    <w:rsid w:val="00872909"/>
    <w:rsid w:val="00873BA3"/>
    <w:rsid w:val="00873C43"/>
    <w:rsid w:val="008741F2"/>
    <w:rsid w:val="008742D2"/>
    <w:rsid w:val="008754D0"/>
    <w:rsid w:val="008761D0"/>
    <w:rsid w:val="008773FF"/>
    <w:rsid w:val="00877B29"/>
    <w:rsid w:val="00880208"/>
    <w:rsid w:val="00880AFF"/>
    <w:rsid w:val="00880FD9"/>
    <w:rsid w:val="00881CD3"/>
    <w:rsid w:val="00881EB4"/>
    <w:rsid w:val="008843B1"/>
    <w:rsid w:val="00884A7A"/>
    <w:rsid w:val="00884B99"/>
    <w:rsid w:val="00884C36"/>
    <w:rsid w:val="00884CB1"/>
    <w:rsid w:val="00885533"/>
    <w:rsid w:val="008873A3"/>
    <w:rsid w:val="0089237E"/>
    <w:rsid w:val="00892982"/>
    <w:rsid w:val="00892C35"/>
    <w:rsid w:val="00894CB8"/>
    <w:rsid w:val="00895072"/>
    <w:rsid w:val="00895F85"/>
    <w:rsid w:val="00896562"/>
    <w:rsid w:val="008A173E"/>
    <w:rsid w:val="008A2238"/>
    <w:rsid w:val="008A261E"/>
    <w:rsid w:val="008A2EB6"/>
    <w:rsid w:val="008A3813"/>
    <w:rsid w:val="008A39B4"/>
    <w:rsid w:val="008A4461"/>
    <w:rsid w:val="008A49FF"/>
    <w:rsid w:val="008A5006"/>
    <w:rsid w:val="008A58DF"/>
    <w:rsid w:val="008A5CB9"/>
    <w:rsid w:val="008A6AFE"/>
    <w:rsid w:val="008A70D0"/>
    <w:rsid w:val="008B1560"/>
    <w:rsid w:val="008B20A5"/>
    <w:rsid w:val="008B34AC"/>
    <w:rsid w:val="008B3BB4"/>
    <w:rsid w:val="008B4F65"/>
    <w:rsid w:val="008B577E"/>
    <w:rsid w:val="008B5D8C"/>
    <w:rsid w:val="008B686B"/>
    <w:rsid w:val="008B6A06"/>
    <w:rsid w:val="008B6E1B"/>
    <w:rsid w:val="008B6EAE"/>
    <w:rsid w:val="008B7A14"/>
    <w:rsid w:val="008C085B"/>
    <w:rsid w:val="008C11A6"/>
    <w:rsid w:val="008C17F7"/>
    <w:rsid w:val="008C2B40"/>
    <w:rsid w:val="008C2E05"/>
    <w:rsid w:val="008C32AD"/>
    <w:rsid w:val="008C3D05"/>
    <w:rsid w:val="008C3F1E"/>
    <w:rsid w:val="008C5194"/>
    <w:rsid w:val="008C5E45"/>
    <w:rsid w:val="008C6E75"/>
    <w:rsid w:val="008C6EE3"/>
    <w:rsid w:val="008C77DE"/>
    <w:rsid w:val="008D05AF"/>
    <w:rsid w:val="008D0BB6"/>
    <w:rsid w:val="008D162D"/>
    <w:rsid w:val="008D210C"/>
    <w:rsid w:val="008D21D5"/>
    <w:rsid w:val="008D2439"/>
    <w:rsid w:val="008D2BEF"/>
    <w:rsid w:val="008D2D3C"/>
    <w:rsid w:val="008D2F5D"/>
    <w:rsid w:val="008D31EF"/>
    <w:rsid w:val="008D355B"/>
    <w:rsid w:val="008D3A1E"/>
    <w:rsid w:val="008D4836"/>
    <w:rsid w:val="008D5376"/>
    <w:rsid w:val="008D5C83"/>
    <w:rsid w:val="008D68E4"/>
    <w:rsid w:val="008D7264"/>
    <w:rsid w:val="008E0163"/>
    <w:rsid w:val="008E0587"/>
    <w:rsid w:val="008E0F53"/>
    <w:rsid w:val="008E2A85"/>
    <w:rsid w:val="008E3B8C"/>
    <w:rsid w:val="008E40D0"/>
    <w:rsid w:val="008E6599"/>
    <w:rsid w:val="008E6A57"/>
    <w:rsid w:val="008E6CF4"/>
    <w:rsid w:val="008E7108"/>
    <w:rsid w:val="008E7435"/>
    <w:rsid w:val="008E74B4"/>
    <w:rsid w:val="008E78A8"/>
    <w:rsid w:val="008F008B"/>
    <w:rsid w:val="008F0C93"/>
    <w:rsid w:val="008F116D"/>
    <w:rsid w:val="008F1989"/>
    <w:rsid w:val="008F1CF4"/>
    <w:rsid w:val="008F3016"/>
    <w:rsid w:val="008F3D72"/>
    <w:rsid w:val="008F41A5"/>
    <w:rsid w:val="008F4363"/>
    <w:rsid w:val="008F521C"/>
    <w:rsid w:val="008F5500"/>
    <w:rsid w:val="008F57FC"/>
    <w:rsid w:val="008F5E81"/>
    <w:rsid w:val="008F7967"/>
    <w:rsid w:val="008F7C7F"/>
    <w:rsid w:val="008F7CCD"/>
    <w:rsid w:val="009000D9"/>
    <w:rsid w:val="0090098B"/>
    <w:rsid w:val="00902D6C"/>
    <w:rsid w:val="00902D72"/>
    <w:rsid w:val="0090312D"/>
    <w:rsid w:val="0090323C"/>
    <w:rsid w:val="009032A2"/>
    <w:rsid w:val="009040BA"/>
    <w:rsid w:val="009052EB"/>
    <w:rsid w:val="0090677C"/>
    <w:rsid w:val="00906B5C"/>
    <w:rsid w:val="00906FA5"/>
    <w:rsid w:val="009112AA"/>
    <w:rsid w:val="00911A75"/>
    <w:rsid w:val="0091228E"/>
    <w:rsid w:val="00913A74"/>
    <w:rsid w:val="0091419B"/>
    <w:rsid w:val="00914698"/>
    <w:rsid w:val="00914F11"/>
    <w:rsid w:val="00915975"/>
    <w:rsid w:val="00915ADF"/>
    <w:rsid w:val="00916443"/>
    <w:rsid w:val="00916982"/>
    <w:rsid w:val="00916D88"/>
    <w:rsid w:val="00917C16"/>
    <w:rsid w:val="00921E27"/>
    <w:rsid w:val="00923BD9"/>
    <w:rsid w:val="009243F7"/>
    <w:rsid w:val="009258DD"/>
    <w:rsid w:val="009272AE"/>
    <w:rsid w:val="00927772"/>
    <w:rsid w:val="00927913"/>
    <w:rsid w:val="00927C4F"/>
    <w:rsid w:val="00927D6B"/>
    <w:rsid w:val="00931097"/>
    <w:rsid w:val="00931A6E"/>
    <w:rsid w:val="00931CD0"/>
    <w:rsid w:val="00932F38"/>
    <w:rsid w:val="00933054"/>
    <w:rsid w:val="009343B0"/>
    <w:rsid w:val="009349CD"/>
    <w:rsid w:val="00935A9B"/>
    <w:rsid w:val="009366F6"/>
    <w:rsid w:val="00937C67"/>
    <w:rsid w:val="00941E8D"/>
    <w:rsid w:val="00942860"/>
    <w:rsid w:val="00942B13"/>
    <w:rsid w:val="00942F8D"/>
    <w:rsid w:val="00943D56"/>
    <w:rsid w:val="0094427C"/>
    <w:rsid w:val="0094492C"/>
    <w:rsid w:val="00944E2A"/>
    <w:rsid w:val="0094579C"/>
    <w:rsid w:val="009460BB"/>
    <w:rsid w:val="0094622F"/>
    <w:rsid w:val="009467A6"/>
    <w:rsid w:val="009474BD"/>
    <w:rsid w:val="00947DAA"/>
    <w:rsid w:val="00947FCF"/>
    <w:rsid w:val="00950497"/>
    <w:rsid w:val="00950B07"/>
    <w:rsid w:val="00951557"/>
    <w:rsid w:val="009525B5"/>
    <w:rsid w:val="00952F0B"/>
    <w:rsid w:val="00954645"/>
    <w:rsid w:val="009550BC"/>
    <w:rsid w:val="0095557B"/>
    <w:rsid w:val="00956263"/>
    <w:rsid w:val="009574B4"/>
    <w:rsid w:val="009574E1"/>
    <w:rsid w:val="00960A34"/>
    <w:rsid w:val="00960AAD"/>
    <w:rsid w:val="009611B5"/>
    <w:rsid w:val="00961F7C"/>
    <w:rsid w:val="009632F8"/>
    <w:rsid w:val="00963574"/>
    <w:rsid w:val="00963B43"/>
    <w:rsid w:val="00963BAF"/>
    <w:rsid w:val="0096793B"/>
    <w:rsid w:val="0097019E"/>
    <w:rsid w:val="00970333"/>
    <w:rsid w:val="0097224E"/>
    <w:rsid w:val="00972705"/>
    <w:rsid w:val="00972C95"/>
    <w:rsid w:val="00972D6B"/>
    <w:rsid w:val="009735CD"/>
    <w:rsid w:val="009748D3"/>
    <w:rsid w:val="009762C3"/>
    <w:rsid w:val="009762D2"/>
    <w:rsid w:val="00976623"/>
    <w:rsid w:val="00976BCD"/>
    <w:rsid w:val="00977814"/>
    <w:rsid w:val="00977DEB"/>
    <w:rsid w:val="009805B7"/>
    <w:rsid w:val="00980713"/>
    <w:rsid w:val="00980B37"/>
    <w:rsid w:val="00981D25"/>
    <w:rsid w:val="00982C8A"/>
    <w:rsid w:val="00984C13"/>
    <w:rsid w:val="00985845"/>
    <w:rsid w:val="00985A01"/>
    <w:rsid w:val="00985A03"/>
    <w:rsid w:val="009876C6"/>
    <w:rsid w:val="00990487"/>
    <w:rsid w:val="00991064"/>
    <w:rsid w:val="00991B74"/>
    <w:rsid w:val="00991E52"/>
    <w:rsid w:val="009924D0"/>
    <w:rsid w:val="00993DCD"/>
    <w:rsid w:val="009941BD"/>
    <w:rsid w:val="0099671C"/>
    <w:rsid w:val="009974D4"/>
    <w:rsid w:val="009A09F2"/>
    <w:rsid w:val="009A0DA3"/>
    <w:rsid w:val="009A15A0"/>
    <w:rsid w:val="009A20E7"/>
    <w:rsid w:val="009A24A4"/>
    <w:rsid w:val="009A24E4"/>
    <w:rsid w:val="009A4D26"/>
    <w:rsid w:val="009A4F94"/>
    <w:rsid w:val="009A533E"/>
    <w:rsid w:val="009A647E"/>
    <w:rsid w:val="009A65A8"/>
    <w:rsid w:val="009A6D86"/>
    <w:rsid w:val="009B0772"/>
    <w:rsid w:val="009B0BFC"/>
    <w:rsid w:val="009B0ECE"/>
    <w:rsid w:val="009B3721"/>
    <w:rsid w:val="009B5657"/>
    <w:rsid w:val="009B5976"/>
    <w:rsid w:val="009B5BC0"/>
    <w:rsid w:val="009B6E9A"/>
    <w:rsid w:val="009B7274"/>
    <w:rsid w:val="009B7EAF"/>
    <w:rsid w:val="009C1286"/>
    <w:rsid w:val="009C1438"/>
    <w:rsid w:val="009C1F56"/>
    <w:rsid w:val="009C322C"/>
    <w:rsid w:val="009C4251"/>
    <w:rsid w:val="009C4A53"/>
    <w:rsid w:val="009C4E65"/>
    <w:rsid w:val="009C5658"/>
    <w:rsid w:val="009C6D15"/>
    <w:rsid w:val="009C76A6"/>
    <w:rsid w:val="009C7C79"/>
    <w:rsid w:val="009C7E16"/>
    <w:rsid w:val="009D0DA3"/>
    <w:rsid w:val="009D3245"/>
    <w:rsid w:val="009D3DDD"/>
    <w:rsid w:val="009D4863"/>
    <w:rsid w:val="009D531C"/>
    <w:rsid w:val="009D5533"/>
    <w:rsid w:val="009D5F7A"/>
    <w:rsid w:val="009D682C"/>
    <w:rsid w:val="009D68EC"/>
    <w:rsid w:val="009D76B7"/>
    <w:rsid w:val="009D7738"/>
    <w:rsid w:val="009D776B"/>
    <w:rsid w:val="009D7E3E"/>
    <w:rsid w:val="009E01F1"/>
    <w:rsid w:val="009E0D9E"/>
    <w:rsid w:val="009E10D9"/>
    <w:rsid w:val="009E1A49"/>
    <w:rsid w:val="009E236E"/>
    <w:rsid w:val="009E35A6"/>
    <w:rsid w:val="009E3E97"/>
    <w:rsid w:val="009E45AF"/>
    <w:rsid w:val="009E48BF"/>
    <w:rsid w:val="009E58AA"/>
    <w:rsid w:val="009E5FF7"/>
    <w:rsid w:val="009E66FD"/>
    <w:rsid w:val="009F0FEC"/>
    <w:rsid w:val="009F1292"/>
    <w:rsid w:val="009F1D0E"/>
    <w:rsid w:val="009F25EA"/>
    <w:rsid w:val="009F37AF"/>
    <w:rsid w:val="009F4488"/>
    <w:rsid w:val="009F4851"/>
    <w:rsid w:val="009F652F"/>
    <w:rsid w:val="009F68C1"/>
    <w:rsid w:val="009F6F16"/>
    <w:rsid w:val="00A001F1"/>
    <w:rsid w:val="00A01157"/>
    <w:rsid w:val="00A02B3B"/>
    <w:rsid w:val="00A030F6"/>
    <w:rsid w:val="00A03AD6"/>
    <w:rsid w:val="00A0489D"/>
    <w:rsid w:val="00A0626C"/>
    <w:rsid w:val="00A06DD4"/>
    <w:rsid w:val="00A0797D"/>
    <w:rsid w:val="00A07AF9"/>
    <w:rsid w:val="00A102BB"/>
    <w:rsid w:val="00A10378"/>
    <w:rsid w:val="00A10CAF"/>
    <w:rsid w:val="00A128EE"/>
    <w:rsid w:val="00A13F3A"/>
    <w:rsid w:val="00A14E83"/>
    <w:rsid w:val="00A15B35"/>
    <w:rsid w:val="00A15B9B"/>
    <w:rsid w:val="00A15DA3"/>
    <w:rsid w:val="00A16959"/>
    <w:rsid w:val="00A22B61"/>
    <w:rsid w:val="00A231E2"/>
    <w:rsid w:val="00A23285"/>
    <w:rsid w:val="00A23E09"/>
    <w:rsid w:val="00A252CA"/>
    <w:rsid w:val="00A25606"/>
    <w:rsid w:val="00A2685F"/>
    <w:rsid w:val="00A276E2"/>
    <w:rsid w:val="00A27943"/>
    <w:rsid w:val="00A31410"/>
    <w:rsid w:val="00A31AAE"/>
    <w:rsid w:val="00A34456"/>
    <w:rsid w:val="00A35420"/>
    <w:rsid w:val="00A35ACF"/>
    <w:rsid w:val="00A37B0D"/>
    <w:rsid w:val="00A37BD4"/>
    <w:rsid w:val="00A37EB1"/>
    <w:rsid w:val="00A4080C"/>
    <w:rsid w:val="00A4235F"/>
    <w:rsid w:val="00A43EC8"/>
    <w:rsid w:val="00A44E3F"/>
    <w:rsid w:val="00A46113"/>
    <w:rsid w:val="00A46E7A"/>
    <w:rsid w:val="00A46FBA"/>
    <w:rsid w:val="00A47EB7"/>
    <w:rsid w:val="00A50BF2"/>
    <w:rsid w:val="00A5141D"/>
    <w:rsid w:val="00A53FEF"/>
    <w:rsid w:val="00A54DC7"/>
    <w:rsid w:val="00A55793"/>
    <w:rsid w:val="00A559CE"/>
    <w:rsid w:val="00A55DFD"/>
    <w:rsid w:val="00A57119"/>
    <w:rsid w:val="00A6079F"/>
    <w:rsid w:val="00A61931"/>
    <w:rsid w:val="00A635CA"/>
    <w:rsid w:val="00A6386F"/>
    <w:rsid w:val="00A64912"/>
    <w:rsid w:val="00A67507"/>
    <w:rsid w:val="00A6753B"/>
    <w:rsid w:val="00A67BB8"/>
    <w:rsid w:val="00A67C86"/>
    <w:rsid w:val="00A70A74"/>
    <w:rsid w:val="00A70D40"/>
    <w:rsid w:val="00A7103C"/>
    <w:rsid w:val="00A71574"/>
    <w:rsid w:val="00A71740"/>
    <w:rsid w:val="00A71B7C"/>
    <w:rsid w:val="00A72D6A"/>
    <w:rsid w:val="00A73283"/>
    <w:rsid w:val="00A732E3"/>
    <w:rsid w:val="00A7334B"/>
    <w:rsid w:val="00A73959"/>
    <w:rsid w:val="00A74755"/>
    <w:rsid w:val="00A75092"/>
    <w:rsid w:val="00A76975"/>
    <w:rsid w:val="00A81038"/>
    <w:rsid w:val="00A816B0"/>
    <w:rsid w:val="00A8208A"/>
    <w:rsid w:val="00A82657"/>
    <w:rsid w:val="00A82705"/>
    <w:rsid w:val="00A82ED8"/>
    <w:rsid w:val="00A837B6"/>
    <w:rsid w:val="00A83991"/>
    <w:rsid w:val="00A83DA9"/>
    <w:rsid w:val="00A8402A"/>
    <w:rsid w:val="00A848FC"/>
    <w:rsid w:val="00A85BA9"/>
    <w:rsid w:val="00A862A2"/>
    <w:rsid w:val="00A902B3"/>
    <w:rsid w:val="00A94188"/>
    <w:rsid w:val="00A94B31"/>
    <w:rsid w:val="00A95A31"/>
    <w:rsid w:val="00A96E8C"/>
    <w:rsid w:val="00AA0D50"/>
    <w:rsid w:val="00AA122A"/>
    <w:rsid w:val="00AA1C59"/>
    <w:rsid w:val="00AA22C1"/>
    <w:rsid w:val="00AA22E4"/>
    <w:rsid w:val="00AA291B"/>
    <w:rsid w:val="00AA330F"/>
    <w:rsid w:val="00AA380B"/>
    <w:rsid w:val="00AA4357"/>
    <w:rsid w:val="00AA4606"/>
    <w:rsid w:val="00AA4B6C"/>
    <w:rsid w:val="00AA53D3"/>
    <w:rsid w:val="00AA63FE"/>
    <w:rsid w:val="00AA6B42"/>
    <w:rsid w:val="00AA7555"/>
    <w:rsid w:val="00AB020F"/>
    <w:rsid w:val="00AB0FAC"/>
    <w:rsid w:val="00AB101B"/>
    <w:rsid w:val="00AB105F"/>
    <w:rsid w:val="00AB2106"/>
    <w:rsid w:val="00AB2784"/>
    <w:rsid w:val="00AB2AEE"/>
    <w:rsid w:val="00AB2F44"/>
    <w:rsid w:val="00AB54F1"/>
    <w:rsid w:val="00AB5880"/>
    <w:rsid w:val="00AB5E02"/>
    <w:rsid w:val="00AB600D"/>
    <w:rsid w:val="00AB61B3"/>
    <w:rsid w:val="00AB7DEA"/>
    <w:rsid w:val="00AC17FD"/>
    <w:rsid w:val="00AC1B42"/>
    <w:rsid w:val="00AC20E0"/>
    <w:rsid w:val="00AC2755"/>
    <w:rsid w:val="00AC2D6D"/>
    <w:rsid w:val="00AC2ECE"/>
    <w:rsid w:val="00AC3C54"/>
    <w:rsid w:val="00AC44E8"/>
    <w:rsid w:val="00AC4BC7"/>
    <w:rsid w:val="00AC7BD3"/>
    <w:rsid w:val="00AD249C"/>
    <w:rsid w:val="00AD2C78"/>
    <w:rsid w:val="00AD370D"/>
    <w:rsid w:val="00AD3ABF"/>
    <w:rsid w:val="00AD500F"/>
    <w:rsid w:val="00AD5063"/>
    <w:rsid w:val="00AD5556"/>
    <w:rsid w:val="00AD5641"/>
    <w:rsid w:val="00AD5C20"/>
    <w:rsid w:val="00AD6DEB"/>
    <w:rsid w:val="00AD6EAA"/>
    <w:rsid w:val="00AE0222"/>
    <w:rsid w:val="00AE02C5"/>
    <w:rsid w:val="00AE0598"/>
    <w:rsid w:val="00AE0A6D"/>
    <w:rsid w:val="00AE15E1"/>
    <w:rsid w:val="00AE1C58"/>
    <w:rsid w:val="00AE1FC6"/>
    <w:rsid w:val="00AE3510"/>
    <w:rsid w:val="00AE4D6E"/>
    <w:rsid w:val="00AE5773"/>
    <w:rsid w:val="00AE636D"/>
    <w:rsid w:val="00AE6C14"/>
    <w:rsid w:val="00AE74B3"/>
    <w:rsid w:val="00AF024F"/>
    <w:rsid w:val="00AF0C16"/>
    <w:rsid w:val="00AF1FBA"/>
    <w:rsid w:val="00AF2DBB"/>
    <w:rsid w:val="00AF31C3"/>
    <w:rsid w:val="00AF34AA"/>
    <w:rsid w:val="00AF70F5"/>
    <w:rsid w:val="00AF77C8"/>
    <w:rsid w:val="00AF7D7A"/>
    <w:rsid w:val="00B00005"/>
    <w:rsid w:val="00B004D8"/>
    <w:rsid w:val="00B00B38"/>
    <w:rsid w:val="00B00BB6"/>
    <w:rsid w:val="00B00EC6"/>
    <w:rsid w:val="00B03608"/>
    <w:rsid w:val="00B03BA0"/>
    <w:rsid w:val="00B06770"/>
    <w:rsid w:val="00B12E43"/>
    <w:rsid w:val="00B13184"/>
    <w:rsid w:val="00B13AF7"/>
    <w:rsid w:val="00B13F4A"/>
    <w:rsid w:val="00B13FF5"/>
    <w:rsid w:val="00B142FE"/>
    <w:rsid w:val="00B14CA2"/>
    <w:rsid w:val="00B1741A"/>
    <w:rsid w:val="00B21226"/>
    <w:rsid w:val="00B2122D"/>
    <w:rsid w:val="00B237E8"/>
    <w:rsid w:val="00B25503"/>
    <w:rsid w:val="00B25E03"/>
    <w:rsid w:val="00B2631E"/>
    <w:rsid w:val="00B26735"/>
    <w:rsid w:val="00B30E8A"/>
    <w:rsid w:val="00B33B3C"/>
    <w:rsid w:val="00B345EA"/>
    <w:rsid w:val="00B34858"/>
    <w:rsid w:val="00B35B8C"/>
    <w:rsid w:val="00B36789"/>
    <w:rsid w:val="00B40FDA"/>
    <w:rsid w:val="00B4127F"/>
    <w:rsid w:val="00B41CB0"/>
    <w:rsid w:val="00B429A4"/>
    <w:rsid w:val="00B44765"/>
    <w:rsid w:val="00B4479C"/>
    <w:rsid w:val="00B447F9"/>
    <w:rsid w:val="00B448E8"/>
    <w:rsid w:val="00B46ACE"/>
    <w:rsid w:val="00B46D35"/>
    <w:rsid w:val="00B46DE5"/>
    <w:rsid w:val="00B47209"/>
    <w:rsid w:val="00B47546"/>
    <w:rsid w:val="00B47614"/>
    <w:rsid w:val="00B50F3D"/>
    <w:rsid w:val="00B51826"/>
    <w:rsid w:val="00B51B63"/>
    <w:rsid w:val="00B51B7D"/>
    <w:rsid w:val="00B51DBB"/>
    <w:rsid w:val="00B53AAE"/>
    <w:rsid w:val="00B54537"/>
    <w:rsid w:val="00B55616"/>
    <w:rsid w:val="00B557F8"/>
    <w:rsid w:val="00B561DD"/>
    <w:rsid w:val="00B56EA7"/>
    <w:rsid w:val="00B56F20"/>
    <w:rsid w:val="00B606B0"/>
    <w:rsid w:val="00B608D4"/>
    <w:rsid w:val="00B60AEA"/>
    <w:rsid w:val="00B60DF0"/>
    <w:rsid w:val="00B619A1"/>
    <w:rsid w:val="00B61B0D"/>
    <w:rsid w:val="00B6208E"/>
    <w:rsid w:val="00B62BDE"/>
    <w:rsid w:val="00B63546"/>
    <w:rsid w:val="00B639F6"/>
    <w:rsid w:val="00B65C77"/>
    <w:rsid w:val="00B67117"/>
    <w:rsid w:val="00B7097A"/>
    <w:rsid w:val="00B71570"/>
    <w:rsid w:val="00B7286F"/>
    <w:rsid w:val="00B7443F"/>
    <w:rsid w:val="00B747BA"/>
    <w:rsid w:val="00B74849"/>
    <w:rsid w:val="00B74D21"/>
    <w:rsid w:val="00B74F72"/>
    <w:rsid w:val="00B760DC"/>
    <w:rsid w:val="00B76B55"/>
    <w:rsid w:val="00B77183"/>
    <w:rsid w:val="00B773B6"/>
    <w:rsid w:val="00B801F2"/>
    <w:rsid w:val="00B804C3"/>
    <w:rsid w:val="00B80F61"/>
    <w:rsid w:val="00B8260A"/>
    <w:rsid w:val="00B831D6"/>
    <w:rsid w:val="00B84779"/>
    <w:rsid w:val="00B8489F"/>
    <w:rsid w:val="00B84D3E"/>
    <w:rsid w:val="00B8618A"/>
    <w:rsid w:val="00B863BA"/>
    <w:rsid w:val="00B869DA"/>
    <w:rsid w:val="00B8736B"/>
    <w:rsid w:val="00B87A44"/>
    <w:rsid w:val="00B906B5"/>
    <w:rsid w:val="00B90AD4"/>
    <w:rsid w:val="00B9260A"/>
    <w:rsid w:val="00B92908"/>
    <w:rsid w:val="00B93025"/>
    <w:rsid w:val="00B9391E"/>
    <w:rsid w:val="00B94507"/>
    <w:rsid w:val="00B94F0C"/>
    <w:rsid w:val="00B95AC2"/>
    <w:rsid w:val="00B95D16"/>
    <w:rsid w:val="00B95E56"/>
    <w:rsid w:val="00B96441"/>
    <w:rsid w:val="00BA2CEC"/>
    <w:rsid w:val="00BA355A"/>
    <w:rsid w:val="00BA4CA0"/>
    <w:rsid w:val="00BA4F47"/>
    <w:rsid w:val="00BA5561"/>
    <w:rsid w:val="00BA647E"/>
    <w:rsid w:val="00BA7611"/>
    <w:rsid w:val="00BA7A21"/>
    <w:rsid w:val="00BB1A2A"/>
    <w:rsid w:val="00BB245B"/>
    <w:rsid w:val="00BB2AA0"/>
    <w:rsid w:val="00BB2EC3"/>
    <w:rsid w:val="00BB2FA1"/>
    <w:rsid w:val="00BB354B"/>
    <w:rsid w:val="00BB405E"/>
    <w:rsid w:val="00BB4992"/>
    <w:rsid w:val="00BB547F"/>
    <w:rsid w:val="00BB6F78"/>
    <w:rsid w:val="00BB7FD3"/>
    <w:rsid w:val="00BC14EC"/>
    <w:rsid w:val="00BC1EBE"/>
    <w:rsid w:val="00BC1F0D"/>
    <w:rsid w:val="00BC3117"/>
    <w:rsid w:val="00BC6374"/>
    <w:rsid w:val="00BC647B"/>
    <w:rsid w:val="00BC65E8"/>
    <w:rsid w:val="00BC6922"/>
    <w:rsid w:val="00BC71E1"/>
    <w:rsid w:val="00BC7C81"/>
    <w:rsid w:val="00BD006D"/>
    <w:rsid w:val="00BD027B"/>
    <w:rsid w:val="00BD2897"/>
    <w:rsid w:val="00BD2AC1"/>
    <w:rsid w:val="00BD413A"/>
    <w:rsid w:val="00BD480D"/>
    <w:rsid w:val="00BD4AEC"/>
    <w:rsid w:val="00BD4ED0"/>
    <w:rsid w:val="00BD62C7"/>
    <w:rsid w:val="00BD6320"/>
    <w:rsid w:val="00BD685B"/>
    <w:rsid w:val="00BD6A44"/>
    <w:rsid w:val="00BD78C5"/>
    <w:rsid w:val="00BE0E7D"/>
    <w:rsid w:val="00BE102E"/>
    <w:rsid w:val="00BE1629"/>
    <w:rsid w:val="00BE1B77"/>
    <w:rsid w:val="00BE21D1"/>
    <w:rsid w:val="00BE45D0"/>
    <w:rsid w:val="00BE4AAA"/>
    <w:rsid w:val="00BE52DD"/>
    <w:rsid w:val="00BE5D6C"/>
    <w:rsid w:val="00BE6CF9"/>
    <w:rsid w:val="00BE6DB9"/>
    <w:rsid w:val="00BE6ED1"/>
    <w:rsid w:val="00BE719A"/>
    <w:rsid w:val="00BE720A"/>
    <w:rsid w:val="00BE7F6D"/>
    <w:rsid w:val="00BF06C5"/>
    <w:rsid w:val="00BF0A97"/>
    <w:rsid w:val="00BF0EA5"/>
    <w:rsid w:val="00BF1327"/>
    <w:rsid w:val="00BF1FB0"/>
    <w:rsid w:val="00BF2D94"/>
    <w:rsid w:val="00BF3019"/>
    <w:rsid w:val="00BF3B83"/>
    <w:rsid w:val="00BF3C6A"/>
    <w:rsid w:val="00BF4341"/>
    <w:rsid w:val="00BF5238"/>
    <w:rsid w:val="00BF60F7"/>
    <w:rsid w:val="00BF7CF1"/>
    <w:rsid w:val="00C025DF"/>
    <w:rsid w:val="00C033A1"/>
    <w:rsid w:val="00C04082"/>
    <w:rsid w:val="00C04838"/>
    <w:rsid w:val="00C0506C"/>
    <w:rsid w:val="00C0524D"/>
    <w:rsid w:val="00C0548B"/>
    <w:rsid w:val="00C07FFB"/>
    <w:rsid w:val="00C1051A"/>
    <w:rsid w:val="00C10706"/>
    <w:rsid w:val="00C10EE1"/>
    <w:rsid w:val="00C11612"/>
    <w:rsid w:val="00C1161E"/>
    <w:rsid w:val="00C11C06"/>
    <w:rsid w:val="00C11C7D"/>
    <w:rsid w:val="00C1320A"/>
    <w:rsid w:val="00C150E2"/>
    <w:rsid w:val="00C15110"/>
    <w:rsid w:val="00C15392"/>
    <w:rsid w:val="00C15792"/>
    <w:rsid w:val="00C16808"/>
    <w:rsid w:val="00C1727C"/>
    <w:rsid w:val="00C200FD"/>
    <w:rsid w:val="00C2088A"/>
    <w:rsid w:val="00C20DAB"/>
    <w:rsid w:val="00C21230"/>
    <w:rsid w:val="00C22F5F"/>
    <w:rsid w:val="00C24BDC"/>
    <w:rsid w:val="00C25107"/>
    <w:rsid w:val="00C25FE8"/>
    <w:rsid w:val="00C26363"/>
    <w:rsid w:val="00C26A6C"/>
    <w:rsid w:val="00C26B5A"/>
    <w:rsid w:val="00C27411"/>
    <w:rsid w:val="00C27467"/>
    <w:rsid w:val="00C27B60"/>
    <w:rsid w:val="00C301C4"/>
    <w:rsid w:val="00C30D99"/>
    <w:rsid w:val="00C315E6"/>
    <w:rsid w:val="00C3192A"/>
    <w:rsid w:val="00C3218F"/>
    <w:rsid w:val="00C329AA"/>
    <w:rsid w:val="00C32ACE"/>
    <w:rsid w:val="00C3358F"/>
    <w:rsid w:val="00C33B0F"/>
    <w:rsid w:val="00C33EB1"/>
    <w:rsid w:val="00C33F72"/>
    <w:rsid w:val="00C34215"/>
    <w:rsid w:val="00C342FA"/>
    <w:rsid w:val="00C3600A"/>
    <w:rsid w:val="00C3664A"/>
    <w:rsid w:val="00C40473"/>
    <w:rsid w:val="00C40D8B"/>
    <w:rsid w:val="00C4129B"/>
    <w:rsid w:val="00C41883"/>
    <w:rsid w:val="00C419A5"/>
    <w:rsid w:val="00C429A4"/>
    <w:rsid w:val="00C42B71"/>
    <w:rsid w:val="00C42BF8"/>
    <w:rsid w:val="00C42DCB"/>
    <w:rsid w:val="00C451E2"/>
    <w:rsid w:val="00C46CED"/>
    <w:rsid w:val="00C47CF7"/>
    <w:rsid w:val="00C50043"/>
    <w:rsid w:val="00C527EB"/>
    <w:rsid w:val="00C5292E"/>
    <w:rsid w:val="00C5399D"/>
    <w:rsid w:val="00C5486A"/>
    <w:rsid w:val="00C54DCA"/>
    <w:rsid w:val="00C55DA3"/>
    <w:rsid w:val="00C55FC9"/>
    <w:rsid w:val="00C56A1D"/>
    <w:rsid w:val="00C56C1A"/>
    <w:rsid w:val="00C5700F"/>
    <w:rsid w:val="00C570AC"/>
    <w:rsid w:val="00C571EB"/>
    <w:rsid w:val="00C574B3"/>
    <w:rsid w:val="00C575CE"/>
    <w:rsid w:val="00C60544"/>
    <w:rsid w:val="00C613D9"/>
    <w:rsid w:val="00C61B06"/>
    <w:rsid w:val="00C61CDD"/>
    <w:rsid w:val="00C62518"/>
    <w:rsid w:val="00C629A8"/>
    <w:rsid w:val="00C66D54"/>
    <w:rsid w:val="00C67830"/>
    <w:rsid w:val="00C70C21"/>
    <w:rsid w:val="00C71203"/>
    <w:rsid w:val="00C71939"/>
    <w:rsid w:val="00C71D87"/>
    <w:rsid w:val="00C740F3"/>
    <w:rsid w:val="00C743D8"/>
    <w:rsid w:val="00C745AC"/>
    <w:rsid w:val="00C7573B"/>
    <w:rsid w:val="00C80D5C"/>
    <w:rsid w:val="00C81672"/>
    <w:rsid w:val="00C81A4C"/>
    <w:rsid w:val="00C81CC7"/>
    <w:rsid w:val="00C825E2"/>
    <w:rsid w:val="00C83321"/>
    <w:rsid w:val="00C83987"/>
    <w:rsid w:val="00C8527B"/>
    <w:rsid w:val="00C856F3"/>
    <w:rsid w:val="00C85914"/>
    <w:rsid w:val="00C86428"/>
    <w:rsid w:val="00C901B0"/>
    <w:rsid w:val="00C91825"/>
    <w:rsid w:val="00C9192F"/>
    <w:rsid w:val="00C9314C"/>
    <w:rsid w:val="00C934F0"/>
    <w:rsid w:val="00C95250"/>
    <w:rsid w:val="00C95AD3"/>
    <w:rsid w:val="00C9666C"/>
    <w:rsid w:val="00C96B5E"/>
    <w:rsid w:val="00C97A6C"/>
    <w:rsid w:val="00CA13CC"/>
    <w:rsid w:val="00CA20FC"/>
    <w:rsid w:val="00CA2A17"/>
    <w:rsid w:val="00CA2E52"/>
    <w:rsid w:val="00CA302C"/>
    <w:rsid w:val="00CA3224"/>
    <w:rsid w:val="00CA34A9"/>
    <w:rsid w:val="00CA3BEB"/>
    <w:rsid w:val="00CA52CF"/>
    <w:rsid w:val="00CA6864"/>
    <w:rsid w:val="00CA6F22"/>
    <w:rsid w:val="00CB00BA"/>
    <w:rsid w:val="00CB05CF"/>
    <w:rsid w:val="00CB0C4D"/>
    <w:rsid w:val="00CB126A"/>
    <w:rsid w:val="00CB1773"/>
    <w:rsid w:val="00CB1ED2"/>
    <w:rsid w:val="00CB23CE"/>
    <w:rsid w:val="00CB3321"/>
    <w:rsid w:val="00CB3520"/>
    <w:rsid w:val="00CB3549"/>
    <w:rsid w:val="00CB3B11"/>
    <w:rsid w:val="00CB3E18"/>
    <w:rsid w:val="00CB5883"/>
    <w:rsid w:val="00CB5D89"/>
    <w:rsid w:val="00CB6D92"/>
    <w:rsid w:val="00CC06B1"/>
    <w:rsid w:val="00CC14C4"/>
    <w:rsid w:val="00CC183F"/>
    <w:rsid w:val="00CC252C"/>
    <w:rsid w:val="00CC28AF"/>
    <w:rsid w:val="00CC3013"/>
    <w:rsid w:val="00CC41D2"/>
    <w:rsid w:val="00CC4EB1"/>
    <w:rsid w:val="00CC54E3"/>
    <w:rsid w:val="00CC5A8F"/>
    <w:rsid w:val="00CC715C"/>
    <w:rsid w:val="00CC7302"/>
    <w:rsid w:val="00CC76D9"/>
    <w:rsid w:val="00CD01F5"/>
    <w:rsid w:val="00CD0346"/>
    <w:rsid w:val="00CD04A5"/>
    <w:rsid w:val="00CD0A99"/>
    <w:rsid w:val="00CD3326"/>
    <w:rsid w:val="00CD3815"/>
    <w:rsid w:val="00CD3890"/>
    <w:rsid w:val="00CD4175"/>
    <w:rsid w:val="00CD5270"/>
    <w:rsid w:val="00CD5812"/>
    <w:rsid w:val="00CD58D4"/>
    <w:rsid w:val="00CD66C5"/>
    <w:rsid w:val="00CD6FA3"/>
    <w:rsid w:val="00CD7048"/>
    <w:rsid w:val="00CE0078"/>
    <w:rsid w:val="00CE05C2"/>
    <w:rsid w:val="00CE0B07"/>
    <w:rsid w:val="00CE18C4"/>
    <w:rsid w:val="00CE193C"/>
    <w:rsid w:val="00CE206C"/>
    <w:rsid w:val="00CE2573"/>
    <w:rsid w:val="00CE2723"/>
    <w:rsid w:val="00CE29B3"/>
    <w:rsid w:val="00CE41DB"/>
    <w:rsid w:val="00CE6A83"/>
    <w:rsid w:val="00CE6E8A"/>
    <w:rsid w:val="00CE7008"/>
    <w:rsid w:val="00CF0BB2"/>
    <w:rsid w:val="00CF1017"/>
    <w:rsid w:val="00CF15AF"/>
    <w:rsid w:val="00CF164C"/>
    <w:rsid w:val="00CF1FC1"/>
    <w:rsid w:val="00CF232F"/>
    <w:rsid w:val="00CF2B75"/>
    <w:rsid w:val="00CF347B"/>
    <w:rsid w:val="00CF4352"/>
    <w:rsid w:val="00CF596E"/>
    <w:rsid w:val="00CF5DB1"/>
    <w:rsid w:val="00CF67D9"/>
    <w:rsid w:val="00CF7332"/>
    <w:rsid w:val="00CF7967"/>
    <w:rsid w:val="00D02BDC"/>
    <w:rsid w:val="00D07384"/>
    <w:rsid w:val="00D07ECF"/>
    <w:rsid w:val="00D1020D"/>
    <w:rsid w:val="00D10CED"/>
    <w:rsid w:val="00D121D3"/>
    <w:rsid w:val="00D12368"/>
    <w:rsid w:val="00D12E39"/>
    <w:rsid w:val="00D13441"/>
    <w:rsid w:val="00D1354A"/>
    <w:rsid w:val="00D1397B"/>
    <w:rsid w:val="00D14256"/>
    <w:rsid w:val="00D14549"/>
    <w:rsid w:val="00D14FE1"/>
    <w:rsid w:val="00D15548"/>
    <w:rsid w:val="00D15844"/>
    <w:rsid w:val="00D15F08"/>
    <w:rsid w:val="00D16547"/>
    <w:rsid w:val="00D16C95"/>
    <w:rsid w:val="00D172CA"/>
    <w:rsid w:val="00D17B09"/>
    <w:rsid w:val="00D2034A"/>
    <w:rsid w:val="00D2063A"/>
    <w:rsid w:val="00D20742"/>
    <w:rsid w:val="00D21E11"/>
    <w:rsid w:val="00D222B6"/>
    <w:rsid w:val="00D2302D"/>
    <w:rsid w:val="00D23074"/>
    <w:rsid w:val="00D23A85"/>
    <w:rsid w:val="00D23A98"/>
    <w:rsid w:val="00D23BFA"/>
    <w:rsid w:val="00D24275"/>
    <w:rsid w:val="00D249F9"/>
    <w:rsid w:val="00D24A92"/>
    <w:rsid w:val="00D253D6"/>
    <w:rsid w:val="00D273D2"/>
    <w:rsid w:val="00D2767E"/>
    <w:rsid w:val="00D2773C"/>
    <w:rsid w:val="00D27935"/>
    <w:rsid w:val="00D30372"/>
    <w:rsid w:val="00D3091A"/>
    <w:rsid w:val="00D30D0E"/>
    <w:rsid w:val="00D31469"/>
    <w:rsid w:val="00D324C1"/>
    <w:rsid w:val="00D332F3"/>
    <w:rsid w:val="00D3400E"/>
    <w:rsid w:val="00D341FE"/>
    <w:rsid w:val="00D345AD"/>
    <w:rsid w:val="00D345B3"/>
    <w:rsid w:val="00D34D4B"/>
    <w:rsid w:val="00D35347"/>
    <w:rsid w:val="00D353AB"/>
    <w:rsid w:val="00D354ED"/>
    <w:rsid w:val="00D36BA1"/>
    <w:rsid w:val="00D37458"/>
    <w:rsid w:val="00D41316"/>
    <w:rsid w:val="00D41939"/>
    <w:rsid w:val="00D41E7B"/>
    <w:rsid w:val="00D42308"/>
    <w:rsid w:val="00D42B45"/>
    <w:rsid w:val="00D42F78"/>
    <w:rsid w:val="00D43761"/>
    <w:rsid w:val="00D452D3"/>
    <w:rsid w:val="00D4584A"/>
    <w:rsid w:val="00D465E5"/>
    <w:rsid w:val="00D4741C"/>
    <w:rsid w:val="00D476CB"/>
    <w:rsid w:val="00D479EA"/>
    <w:rsid w:val="00D5068F"/>
    <w:rsid w:val="00D50771"/>
    <w:rsid w:val="00D5131B"/>
    <w:rsid w:val="00D517EF"/>
    <w:rsid w:val="00D51C95"/>
    <w:rsid w:val="00D528C0"/>
    <w:rsid w:val="00D53143"/>
    <w:rsid w:val="00D54593"/>
    <w:rsid w:val="00D54936"/>
    <w:rsid w:val="00D54A98"/>
    <w:rsid w:val="00D553BF"/>
    <w:rsid w:val="00D5624E"/>
    <w:rsid w:val="00D56600"/>
    <w:rsid w:val="00D57751"/>
    <w:rsid w:val="00D5776D"/>
    <w:rsid w:val="00D57DE4"/>
    <w:rsid w:val="00D623C4"/>
    <w:rsid w:val="00D624EF"/>
    <w:rsid w:val="00D62C49"/>
    <w:rsid w:val="00D63723"/>
    <w:rsid w:val="00D639CB"/>
    <w:rsid w:val="00D63A8B"/>
    <w:rsid w:val="00D64D03"/>
    <w:rsid w:val="00D65987"/>
    <w:rsid w:val="00D65A04"/>
    <w:rsid w:val="00D65BA8"/>
    <w:rsid w:val="00D65BAF"/>
    <w:rsid w:val="00D65E0B"/>
    <w:rsid w:val="00D666C6"/>
    <w:rsid w:val="00D70677"/>
    <w:rsid w:val="00D70DFB"/>
    <w:rsid w:val="00D71504"/>
    <w:rsid w:val="00D729C8"/>
    <w:rsid w:val="00D72C8E"/>
    <w:rsid w:val="00D73737"/>
    <w:rsid w:val="00D7470E"/>
    <w:rsid w:val="00D74BC1"/>
    <w:rsid w:val="00D75639"/>
    <w:rsid w:val="00D75C0B"/>
    <w:rsid w:val="00D76150"/>
    <w:rsid w:val="00D761EF"/>
    <w:rsid w:val="00D766DF"/>
    <w:rsid w:val="00D76A26"/>
    <w:rsid w:val="00D803D2"/>
    <w:rsid w:val="00D81643"/>
    <w:rsid w:val="00D81D58"/>
    <w:rsid w:val="00D82A54"/>
    <w:rsid w:val="00D82E2F"/>
    <w:rsid w:val="00D83230"/>
    <w:rsid w:val="00D834CF"/>
    <w:rsid w:val="00D83512"/>
    <w:rsid w:val="00D83534"/>
    <w:rsid w:val="00D84623"/>
    <w:rsid w:val="00D84693"/>
    <w:rsid w:val="00D85A0E"/>
    <w:rsid w:val="00D863D2"/>
    <w:rsid w:val="00D869EC"/>
    <w:rsid w:val="00D86DC9"/>
    <w:rsid w:val="00D87253"/>
    <w:rsid w:val="00D90167"/>
    <w:rsid w:val="00D90E09"/>
    <w:rsid w:val="00D90FD0"/>
    <w:rsid w:val="00D91BDF"/>
    <w:rsid w:val="00D93CE0"/>
    <w:rsid w:val="00D94C5B"/>
    <w:rsid w:val="00D95329"/>
    <w:rsid w:val="00D95E8D"/>
    <w:rsid w:val="00D965EA"/>
    <w:rsid w:val="00D96EF7"/>
    <w:rsid w:val="00DA01A0"/>
    <w:rsid w:val="00DA1B94"/>
    <w:rsid w:val="00DA278C"/>
    <w:rsid w:val="00DA29D5"/>
    <w:rsid w:val="00DA2CF5"/>
    <w:rsid w:val="00DA3D31"/>
    <w:rsid w:val="00DA4130"/>
    <w:rsid w:val="00DA4D19"/>
    <w:rsid w:val="00DA592B"/>
    <w:rsid w:val="00DA5C8C"/>
    <w:rsid w:val="00DA6CC7"/>
    <w:rsid w:val="00DA7588"/>
    <w:rsid w:val="00DA7CE8"/>
    <w:rsid w:val="00DB0B4E"/>
    <w:rsid w:val="00DB1A6C"/>
    <w:rsid w:val="00DB26C9"/>
    <w:rsid w:val="00DB2925"/>
    <w:rsid w:val="00DB2C7A"/>
    <w:rsid w:val="00DB44D5"/>
    <w:rsid w:val="00DB4DB6"/>
    <w:rsid w:val="00DB55C8"/>
    <w:rsid w:val="00DB5ACD"/>
    <w:rsid w:val="00DB6026"/>
    <w:rsid w:val="00DB63DB"/>
    <w:rsid w:val="00DB6B52"/>
    <w:rsid w:val="00DB70F9"/>
    <w:rsid w:val="00DB7610"/>
    <w:rsid w:val="00DB7B1E"/>
    <w:rsid w:val="00DB7CBE"/>
    <w:rsid w:val="00DC05BA"/>
    <w:rsid w:val="00DC0972"/>
    <w:rsid w:val="00DC09E3"/>
    <w:rsid w:val="00DC09E7"/>
    <w:rsid w:val="00DC10AB"/>
    <w:rsid w:val="00DC2A0A"/>
    <w:rsid w:val="00DC2AAA"/>
    <w:rsid w:val="00DC31FD"/>
    <w:rsid w:val="00DC51FA"/>
    <w:rsid w:val="00DC5364"/>
    <w:rsid w:val="00DC5A4F"/>
    <w:rsid w:val="00DC5A85"/>
    <w:rsid w:val="00DC6DED"/>
    <w:rsid w:val="00DC7765"/>
    <w:rsid w:val="00DD021D"/>
    <w:rsid w:val="00DD038E"/>
    <w:rsid w:val="00DD06BF"/>
    <w:rsid w:val="00DD06EE"/>
    <w:rsid w:val="00DD0CCB"/>
    <w:rsid w:val="00DD1ADC"/>
    <w:rsid w:val="00DD24FC"/>
    <w:rsid w:val="00DD2BBA"/>
    <w:rsid w:val="00DD2FD5"/>
    <w:rsid w:val="00DD303D"/>
    <w:rsid w:val="00DD39F8"/>
    <w:rsid w:val="00DD3AD7"/>
    <w:rsid w:val="00DD453B"/>
    <w:rsid w:val="00DD4656"/>
    <w:rsid w:val="00DD58F3"/>
    <w:rsid w:val="00DD5A0A"/>
    <w:rsid w:val="00DD6F9D"/>
    <w:rsid w:val="00DE097A"/>
    <w:rsid w:val="00DE1224"/>
    <w:rsid w:val="00DE21C4"/>
    <w:rsid w:val="00DE2791"/>
    <w:rsid w:val="00DE2DC2"/>
    <w:rsid w:val="00DE3286"/>
    <w:rsid w:val="00DE3D92"/>
    <w:rsid w:val="00DE5674"/>
    <w:rsid w:val="00DE6589"/>
    <w:rsid w:val="00DE65D7"/>
    <w:rsid w:val="00DE6A77"/>
    <w:rsid w:val="00DE766A"/>
    <w:rsid w:val="00DF0780"/>
    <w:rsid w:val="00DF0E7B"/>
    <w:rsid w:val="00DF12EF"/>
    <w:rsid w:val="00DF16BE"/>
    <w:rsid w:val="00DF19E3"/>
    <w:rsid w:val="00DF2CC5"/>
    <w:rsid w:val="00DF356F"/>
    <w:rsid w:val="00DF3599"/>
    <w:rsid w:val="00DF3734"/>
    <w:rsid w:val="00DF39BF"/>
    <w:rsid w:val="00DF4423"/>
    <w:rsid w:val="00DF51C4"/>
    <w:rsid w:val="00DF6481"/>
    <w:rsid w:val="00DF6BF3"/>
    <w:rsid w:val="00E00010"/>
    <w:rsid w:val="00E002C7"/>
    <w:rsid w:val="00E00E1A"/>
    <w:rsid w:val="00E01E63"/>
    <w:rsid w:val="00E0263E"/>
    <w:rsid w:val="00E02990"/>
    <w:rsid w:val="00E029C7"/>
    <w:rsid w:val="00E02BC1"/>
    <w:rsid w:val="00E03B84"/>
    <w:rsid w:val="00E0581B"/>
    <w:rsid w:val="00E062B9"/>
    <w:rsid w:val="00E067BD"/>
    <w:rsid w:val="00E06893"/>
    <w:rsid w:val="00E0773C"/>
    <w:rsid w:val="00E07833"/>
    <w:rsid w:val="00E07BAB"/>
    <w:rsid w:val="00E107AA"/>
    <w:rsid w:val="00E10ECD"/>
    <w:rsid w:val="00E10F41"/>
    <w:rsid w:val="00E123D0"/>
    <w:rsid w:val="00E12592"/>
    <w:rsid w:val="00E13404"/>
    <w:rsid w:val="00E139D3"/>
    <w:rsid w:val="00E1461B"/>
    <w:rsid w:val="00E14A65"/>
    <w:rsid w:val="00E15440"/>
    <w:rsid w:val="00E15E93"/>
    <w:rsid w:val="00E16365"/>
    <w:rsid w:val="00E16490"/>
    <w:rsid w:val="00E16F8B"/>
    <w:rsid w:val="00E17302"/>
    <w:rsid w:val="00E17D6C"/>
    <w:rsid w:val="00E20239"/>
    <w:rsid w:val="00E20B7B"/>
    <w:rsid w:val="00E21206"/>
    <w:rsid w:val="00E215BD"/>
    <w:rsid w:val="00E21C69"/>
    <w:rsid w:val="00E21E71"/>
    <w:rsid w:val="00E231A8"/>
    <w:rsid w:val="00E23629"/>
    <w:rsid w:val="00E2473D"/>
    <w:rsid w:val="00E24D75"/>
    <w:rsid w:val="00E250E9"/>
    <w:rsid w:val="00E25493"/>
    <w:rsid w:val="00E262AE"/>
    <w:rsid w:val="00E271E4"/>
    <w:rsid w:val="00E277CA"/>
    <w:rsid w:val="00E30D59"/>
    <w:rsid w:val="00E31530"/>
    <w:rsid w:val="00E3205E"/>
    <w:rsid w:val="00E32FD9"/>
    <w:rsid w:val="00E33E94"/>
    <w:rsid w:val="00E34787"/>
    <w:rsid w:val="00E355BE"/>
    <w:rsid w:val="00E35D57"/>
    <w:rsid w:val="00E36C18"/>
    <w:rsid w:val="00E40EAB"/>
    <w:rsid w:val="00E41755"/>
    <w:rsid w:val="00E41865"/>
    <w:rsid w:val="00E41C6C"/>
    <w:rsid w:val="00E43BB7"/>
    <w:rsid w:val="00E43EEE"/>
    <w:rsid w:val="00E440CE"/>
    <w:rsid w:val="00E468E4"/>
    <w:rsid w:val="00E47183"/>
    <w:rsid w:val="00E50844"/>
    <w:rsid w:val="00E51055"/>
    <w:rsid w:val="00E51F3B"/>
    <w:rsid w:val="00E527DB"/>
    <w:rsid w:val="00E52DE6"/>
    <w:rsid w:val="00E53B28"/>
    <w:rsid w:val="00E5490F"/>
    <w:rsid w:val="00E54EFB"/>
    <w:rsid w:val="00E557EE"/>
    <w:rsid w:val="00E564DA"/>
    <w:rsid w:val="00E56617"/>
    <w:rsid w:val="00E603A6"/>
    <w:rsid w:val="00E61952"/>
    <w:rsid w:val="00E62A3C"/>
    <w:rsid w:val="00E62E34"/>
    <w:rsid w:val="00E641FD"/>
    <w:rsid w:val="00E64457"/>
    <w:rsid w:val="00E656B5"/>
    <w:rsid w:val="00E663AE"/>
    <w:rsid w:val="00E6705D"/>
    <w:rsid w:val="00E70D07"/>
    <w:rsid w:val="00E7156D"/>
    <w:rsid w:val="00E717C5"/>
    <w:rsid w:val="00E71AC7"/>
    <w:rsid w:val="00E72291"/>
    <w:rsid w:val="00E73440"/>
    <w:rsid w:val="00E734CD"/>
    <w:rsid w:val="00E737E4"/>
    <w:rsid w:val="00E73AC7"/>
    <w:rsid w:val="00E7482D"/>
    <w:rsid w:val="00E74C4E"/>
    <w:rsid w:val="00E74DC7"/>
    <w:rsid w:val="00E75411"/>
    <w:rsid w:val="00E75DFA"/>
    <w:rsid w:val="00E8004A"/>
    <w:rsid w:val="00E805A0"/>
    <w:rsid w:val="00E80F84"/>
    <w:rsid w:val="00E81663"/>
    <w:rsid w:val="00E8267D"/>
    <w:rsid w:val="00E82E83"/>
    <w:rsid w:val="00E83807"/>
    <w:rsid w:val="00E84228"/>
    <w:rsid w:val="00E844A0"/>
    <w:rsid w:val="00E8566F"/>
    <w:rsid w:val="00E86304"/>
    <w:rsid w:val="00E86ABB"/>
    <w:rsid w:val="00E86BB6"/>
    <w:rsid w:val="00E90214"/>
    <w:rsid w:val="00E90B40"/>
    <w:rsid w:val="00E9180A"/>
    <w:rsid w:val="00E91D89"/>
    <w:rsid w:val="00E9266F"/>
    <w:rsid w:val="00E92C08"/>
    <w:rsid w:val="00E94149"/>
    <w:rsid w:val="00E9491C"/>
    <w:rsid w:val="00E94A4C"/>
    <w:rsid w:val="00E94C94"/>
    <w:rsid w:val="00E954E7"/>
    <w:rsid w:val="00E970D8"/>
    <w:rsid w:val="00EA07D8"/>
    <w:rsid w:val="00EA0E04"/>
    <w:rsid w:val="00EA1165"/>
    <w:rsid w:val="00EA1216"/>
    <w:rsid w:val="00EA154F"/>
    <w:rsid w:val="00EA21BC"/>
    <w:rsid w:val="00EA22D2"/>
    <w:rsid w:val="00EA2931"/>
    <w:rsid w:val="00EA2A43"/>
    <w:rsid w:val="00EA3D29"/>
    <w:rsid w:val="00EA4491"/>
    <w:rsid w:val="00EA482A"/>
    <w:rsid w:val="00EA4AE6"/>
    <w:rsid w:val="00EA4D09"/>
    <w:rsid w:val="00EA5ADC"/>
    <w:rsid w:val="00EA6043"/>
    <w:rsid w:val="00EA7EDE"/>
    <w:rsid w:val="00EB0315"/>
    <w:rsid w:val="00EB11C3"/>
    <w:rsid w:val="00EB13D2"/>
    <w:rsid w:val="00EB1638"/>
    <w:rsid w:val="00EB22C6"/>
    <w:rsid w:val="00EB306A"/>
    <w:rsid w:val="00EB4023"/>
    <w:rsid w:val="00EB4855"/>
    <w:rsid w:val="00EB5D1D"/>
    <w:rsid w:val="00EB7A66"/>
    <w:rsid w:val="00EC041A"/>
    <w:rsid w:val="00EC2729"/>
    <w:rsid w:val="00EC28EA"/>
    <w:rsid w:val="00EC5E3B"/>
    <w:rsid w:val="00EC6A5E"/>
    <w:rsid w:val="00EC7302"/>
    <w:rsid w:val="00EC7C33"/>
    <w:rsid w:val="00EC7E8A"/>
    <w:rsid w:val="00ED09BF"/>
    <w:rsid w:val="00ED121E"/>
    <w:rsid w:val="00ED12DB"/>
    <w:rsid w:val="00ED1D80"/>
    <w:rsid w:val="00ED28A5"/>
    <w:rsid w:val="00ED372A"/>
    <w:rsid w:val="00ED41BC"/>
    <w:rsid w:val="00ED449C"/>
    <w:rsid w:val="00ED54A9"/>
    <w:rsid w:val="00ED5CAD"/>
    <w:rsid w:val="00ED6D9F"/>
    <w:rsid w:val="00ED6E92"/>
    <w:rsid w:val="00ED6E9D"/>
    <w:rsid w:val="00ED7070"/>
    <w:rsid w:val="00ED7A5D"/>
    <w:rsid w:val="00EE05CE"/>
    <w:rsid w:val="00EE0638"/>
    <w:rsid w:val="00EE0E51"/>
    <w:rsid w:val="00EE0EE1"/>
    <w:rsid w:val="00EE1543"/>
    <w:rsid w:val="00EE2132"/>
    <w:rsid w:val="00EE279C"/>
    <w:rsid w:val="00EE446E"/>
    <w:rsid w:val="00EE7EF9"/>
    <w:rsid w:val="00EF1295"/>
    <w:rsid w:val="00EF1DA5"/>
    <w:rsid w:val="00EF2C6E"/>
    <w:rsid w:val="00EF2E3A"/>
    <w:rsid w:val="00EF3519"/>
    <w:rsid w:val="00EF3530"/>
    <w:rsid w:val="00EF3C18"/>
    <w:rsid w:val="00EF3DC1"/>
    <w:rsid w:val="00EF49B8"/>
    <w:rsid w:val="00EF7815"/>
    <w:rsid w:val="00EF7859"/>
    <w:rsid w:val="00F02110"/>
    <w:rsid w:val="00F02267"/>
    <w:rsid w:val="00F03256"/>
    <w:rsid w:val="00F03F92"/>
    <w:rsid w:val="00F04811"/>
    <w:rsid w:val="00F04FE7"/>
    <w:rsid w:val="00F05B03"/>
    <w:rsid w:val="00F068FE"/>
    <w:rsid w:val="00F071DA"/>
    <w:rsid w:val="00F0769C"/>
    <w:rsid w:val="00F078DC"/>
    <w:rsid w:val="00F07CBB"/>
    <w:rsid w:val="00F10336"/>
    <w:rsid w:val="00F10559"/>
    <w:rsid w:val="00F11A44"/>
    <w:rsid w:val="00F11E8B"/>
    <w:rsid w:val="00F13060"/>
    <w:rsid w:val="00F13406"/>
    <w:rsid w:val="00F1401E"/>
    <w:rsid w:val="00F14283"/>
    <w:rsid w:val="00F14307"/>
    <w:rsid w:val="00F14570"/>
    <w:rsid w:val="00F1520D"/>
    <w:rsid w:val="00F15671"/>
    <w:rsid w:val="00F1574C"/>
    <w:rsid w:val="00F15953"/>
    <w:rsid w:val="00F16EE7"/>
    <w:rsid w:val="00F17F7F"/>
    <w:rsid w:val="00F21957"/>
    <w:rsid w:val="00F22156"/>
    <w:rsid w:val="00F22667"/>
    <w:rsid w:val="00F23E5F"/>
    <w:rsid w:val="00F23FE8"/>
    <w:rsid w:val="00F240A8"/>
    <w:rsid w:val="00F24F4C"/>
    <w:rsid w:val="00F24F73"/>
    <w:rsid w:val="00F257B3"/>
    <w:rsid w:val="00F25AF1"/>
    <w:rsid w:val="00F2697E"/>
    <w:rsid w:val="00F27476"/>
    <w:rsid w:val="00F2777D"/>
    <w:rsid w:val="00F308D0"/>
    <w:rsid w:val="00F32075"/>
    <w:rsid w:val="00F32BB7"/>
    <w:rsid w:val="00F32CA7"/>
    <w:rsid w:val="00F337A9"/>
    <w:rsid w:val="00F34218"/>
    <w:rsid w:val="00F35FE8"/>
    <w:rsid w:val="00F36269"/>
    <w:rsid w:val="00F36324"/>
    <w:rsid w:val="00F37921"/>
    <w:rsid w:val="00F4097B"/>
    <w:rsid w:val="00F409B4"/>
    <w:rsid w:val="00F41A6C"/>
    <w:rsid w:val="00F41BB5"/>
    <w:rsid w:val="00F431F8"/>
    <w:rsid w:val="00F434C0"/>
    <w:rsid w:val="00F4373B"/>
    <w:rsid w:val="00F44554"/>
    <w:rsid w:val="00F44A74"/>
    <w:rsid w:val="00F44E1B"/>
    <w:rsid w:val="00F45EF9"/>
    <w:rsid w:val="00F462D8"/>
    <w:rsid w:val="00F46CB6"/>
    <w:rsid w:val="00F50880"/>
    <w:rsid w:val="00F50902"/>
    <w:rsid w:val="00F51269"/>
    <w:rsid w:val="00F515BD"/>
    <w:rsid w:val="00F515DD"/>
    <w:rsid w:val="00F51C36"/>
    <w:rsid w:val="00F5211D"/>
    <w:rsid w:val="00F52B44"/>
    <w:rsid w:val="00F52CD9"/>
    <w:rsid w:val="00F53136"/>
    <w:rsid w:val="00F535BC"/>
    <w:rsid w:val="00F550E3"/>
    <w:rsid w:val="00F55387"/>
    <w:rsid w:val="00F5665A"/>
    <w:rsid w:val="00F570DC"/>
    <w:rsid w:val="00F5775D"/>
    <w:rsid w:val="00F60400"/>
    <w:rsid w:val="00F60D28"/>
    <w:rsid w:val="00F6117F"/>
    <w:rsid w:val="00F62728"/>
    <w:rsid w:val="00F641C2"/>
    <w:rsid w:val="00F6466E"/>
    <w:rsid w:val="00F6537E"/>
    <w:rsid w:val="00F65531"/>
    <w:rsid w:val="00F66686"/>
    <w:rsid w:val="00F6707A"/>
    <w:rsid w:val="00F719B9"/>
    <w:rsid w:val="00F71BE1"/>
    <w:rsid w:val="00F72EF8"/>
    <w:rsid w:val="00F735C3"/>
    <w:rsid w:val="00F73990"/>
    <w:rsid w:val="00F74223"/>
    <w:rsid w:val="00F742AF"/>
    <w:rsid w:val="00F74531"/>
    <w:rsid w:val="00F746C5"/>
    <w:rsid w:val="00F74A04"/>
    <w:rsid w:val="00F74BA7"/>
    <w:rsid w:val="00F74EDA"/>
    <w:rsid w:val="00F757D4"/>
    <w:rsid w:val="00F758C3"/>
    <w:rsid w:val="00F75AC7"/>
    <w:rsid w:val="00F75BA9"/>
    <w:rsid w:val="00F76D17"/>
    <w:rsid w:val="00F77362"/>
    <w:rsid w:val="00F77CED"/>
    <w:rsid w:val="00F80A4A"/>
    <w:rsid w:val="00F819C3"/>
    <w:rsid w:val="00F84B2B"/>
    <w:rsid w:val="00F84BB4"/>
    <w:rsid w:val="00F87692"/>
    <w:rsid w:val="00F876F6"/>
    <w:rsid w:val="00F87BF7"/>
    <w:rsid w:val="00F87CDA"/>
    <w:rsid w:val="00F92A8E"/>
    <w:rsid w:val="00F92D36"/>
    <w:rsid w:val="00F92F97"/>
    <w:rsid w:val="00F9361C"/>
    <w:rsid w:val="00F93CD7"/>
    <w:rsid w:val="00F961E9"/>
    <w:rsid w:val="00F965F6"/>
    <w:rsid w:val="00F968C6"/>
    <w:rsid w:val="00F96B52"/>
    <w:rsid w:val="00F96FEF"/>
    <w:rsid w:val="00F972C8"/>
    <w:rsid w:val="00FA0184"/>
    <w:rsid w:val="00FA08F4"/>
    <w:rsid w:val="00FA0E42"/>
    <w:rsid w:val="00FA17EE"/>
    <w:rsid w:val="00FA1BEB"/>
    <w:rsid w:val="00FA22D3"/>
    <w:rsid w:val="00FA2355"/>
    <w:rsid w:val="00FA23B2"/>
    <w:rsid w:val="00FA2521"/>
    <w:rsid w:val="00FA2FB1"/>
    <w:rsid w:val="00FA3343"/>
    <w:rsid w:val="00FA37F0"/>
    <w:rsid w:val="00FA3855"/>
    <w:rsid w:val="00FA38A2"/>
    <w:rsid w:val="00FA3AEC"/>
    <w:rsid w:val="00FA43C8"/>
    <w:rsid w:val="00FA4D5C"/>
    <w:rsid w:val="00FA5A6B"/>
    <w:rsid w:val="00FA710E"/>
    <w:rsid w:val="00FA7244"/>
    <w:rsid w:val="00FA7E8B"/>
    <w:rsid w:val="00FB1091"/>
    <w:rsid w:val="00FB2910"/>
    <w:rsid w:val="00FB407D"/>
    <w:rsid w:val="00FB455C"/>
    <w:rsid w:val="00FB4900"/>
    <w:rsid w:val="00FB54C1"/>
    <w:rsid w:val="00FB5CFC"/>
    <w:rsid w:val="00FB5D3D"/>
    <w:rsid w:val="00FB7BC3"/>
    <w:rsid w:val="00FC1D28"/>
    <w:rsid w:val="00FC211B"/>
    <w:rsid w:val="00FC2544"/>
    <w:rsid w:val="00FC4BF4"/>
    <w:rsid w:val="00FC5E09"/>
    <w:rsid w:val="00FC60F3"/>
    <w:rsid w:val="00FC6B4B"/>
    <w:rsid w:val="00FC7069"/>
    <w:rsid w:val="00FC7415"/>
    <w:rsid w:val="00FC7453"/>
    <w:rsid w:val="00FC7B9A"/>
    <w:rsid w:val="00FD22BC"/>
    <w:rsid w:val="00FD2398"/>
    <w:rsid w:val="00FD26C8"/>
    <w:rsid w:val="00FD274F"/>
    <w:rsid w:val="00FD4AE0"/>
    <w:rsid w:val="00FD4CE7"/>
    <w:rsid w:val="00FD4E8C"/>
    <w:rsid w:val="00FD508F"/>
    <w:rsid w:val="00FD52CE"/>
    <w:rsid w:val="00FD5983"/>
    <w:rsid w:val="00FD5F93"/>
    <w:rsid w:val="00FD6A45"/>
    <w:rsid w:val="00FD7BF5"/>
    <w:rsid w:val="00FE07C4"/>
    <w:rsid w:val="00FE0A23"/>
    <w:rsid w:val="00FE296A"/>
    <w:rsid w:val="00FE3281"/>
    <w:rsid w:val="00FE47A8"/>
    <w:rsid w:val="00FE4A3A"/>
    <w:rsid w:val="00FE5134"/>
    <w:rsid w:val="00FF030C"/>
    <w:rsid w:val="00FF0B83"/>
    <w:rsid w:val="00FF0E93"/>
    <w:rsid w:val="00FF12CA"/>
    <w:rsid w:val="00FF17C6"/>
    <w:rsid w:val="00FF1B1C"/>
    <w:rsid w:val="00FF2E29"/>
    <w:rsid w:val="00FF3086"/>
    <w:rsid w:val="00FF3268"/>
    <w:rsid w:val="00FF37AC"/>
    <w:rsid w:val="00FF39C5"/>
    <w:rsid w:val="00FF4362"/>
    <w:rsid w:val="00FF4EAE"/>
    <w:rsid w:val="00FF61ED"/>
    <w:rsid w:val="00FF6DAE"/>
    <w:rsid w:val="00FF6E8A"/>
    <w:rsid w:val="00FF74D0"/>
    <w:rsid w:val="00FF767B"/>
    <w:rsid w:val="00FF7686"/>
    <w:rsid w:val="00FF782B"/>
    <w:rsid w:val="00FF7D67"/>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DFE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lang w:val="en-AU" w:eastAsia="en-US"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855B6"/>
    <w:pPr>
      <w:spacing w:line="260" w:lineRule="atLeast"/>
    </w:pPr>
    <w:rPr>
      <w:sz w:val="22"/>
    </w:rPr>
  </w:style>
  <w:style w:type="paragraph" w:styleId="Heading1">
    <w:name w:val="heading 1"/>
    <w:basedOn w:val="Body"/>
    <w:next w:val="Normal"/>
    <w:link w:val="Heading1Char"/>
    <w:qFormat/>
    <w:rsid w:val="00727ED5"/>
    <w:pPr>
      <w:keepNext/>
      <w:pageBreakBefore/>
      <w:overflowPunct w:val="0"/>
      <w:autoSpaceDE w:val="0"/>
      <w:autoSpaceDN w:val="0"/>
      <w:adjustRightInd w:val="0"/>
      <w:spacing w:before="720" w:after="120"/>
      <w:ind w:left="737" w:hanging="737"/>
      <w:textAlignment w:val="baseline"/>
      <w:outlineLvl w:val="0"/>
    </w:pPr>
    <w:rPr>
      <w:rFonts w:ascii="Helvetica" w:hAnsi="Helvetica"/>
      <w:b/>
      <w:sz w:val="40"/>
      <w:szCs w:val="32"/>
      <w:lang w:val="x-none"/>
    </w:rPr>
  </w:style>
  <w:style w:type="paragraph" w:styleId="Heading2">
    <w:name w:val="heading 2"/>
    <w:basedOn w:val="Body"/>
    <w:next w:val="Normal"/>
    <w:link w:val="Heading2Char"/>
    <w:qFormat/>
    <w:rsid w:val="00727ED5"/>
    <w:pPr>
      <w:keepNext/>
      <w:overflowPunct w:val="0"/>
      <w:autoSpaceDE w:val="0"/>
      <w:autoSpaceDN w:val="0"/>
      <w:adjustRightInd w:val="0"/>
      <w:spacing w:before="480"/>
      <w:ind w:left="737" w:hanging="737"/>
      <w:textAlignment w:val="baseline"/>
      <w:outlineLvl w:val="1"/>
    </w:pPr>
    <w:rPr>
      <w:rFonts w:ascii="Helvetica" w:hAnsi="Helvetica"/>
      <w:b/>
      <w:sz w:val="32"/>
      <w:szCs w:val="30"/>
      <w:lang w:val="x-none"/>
    </w:rPr>
  </w:style>
  <w:style w:type="paragraph" w:styleId="Heading3">
    <w:name w:val="heading 3"/>
    <w:basedOn w:val="Body"/>
    <w:next w:val="Normal"/>
    <w:link w:val="Heading3Char"/>
    <w:qFormat/>
    <w:rsid w:val="00727ED5"/>
    <w:pPr>
      <w:keepNext/>
      <w:overflowPunct w:val="0"/>
      <w:autoSpaceDE w:val="0"/>
      <w:autoSpaceDN w:val="0"/>
      <w:adjustRightInd w:val="0"/>
      <w:spacing w:before="360"/>
      <w:ind w:left="567" w:hanging="567"/>
      <w:textAlignment w:val="baseline"/>
      <w:outlineLvl w:val="2"/>
    </w:pPr>
    <w:rPr>
      <w:rFonts w:ascii="Optima" w:hAnsi="Optima"/>
      <w:b/>
      <w:sz w:val="28"/>
      <w:lang w:val="x-none"/>
    </w:rPr>
  </w:style>
  <w:style w:type="paragraph" w:styleId="Heading4">
    <w:name w:val="heading 4"/>
    <w:basedOn w:val="Body"/>
    <w:next w:val="Normal"/>
    <w:link w:val="Heading4Char"/>
    <w:qFormat/>
    <w:rsid w:val="00727ED5"/>
    <w:pPr>
      <w:keepNext/>
      <w:overflowPunct w:val="0"/>
      <w:autoSpaceDE w:val="0"/>
      <w:autoSpaceDN w:val="0"/>
      <w:adjustRightInd w:val="0"/>
      <w:spacing w:before="360"/>
      <w:ind w:left="567" w:hanging="567"/>
      <w:textAlignment w:val="baseline"/>
      <w:outlineLvl w:val="3"/>
    </w:pPr>
    <w:rPr>
      <w:rFonts w:ascii="Helvetica" w:hAnsi="Helvetica"/>
      <w:b/>
      <w:i/>
      <w:szCs w:val="24"/>
      <w:lang w:val="x-none"/>
    </w:rPr>
  </w:style>
  <w:style w:type="paragraph" w:styleId="Heading5">
    <w:name w:val="heading 5"/>
    <w:basedOn w:val="Heading1"/>
    <w:next w:val="subsection"/>
    <w:link w:val="Heading5Char"/>
    <w:uiPriority w:val="9"/>
    <w:qFormat/>
    <w:rsid w:val="00727ED5"/>
    <w:pPr>
      <w:keepLines/>
      <w:pageBreakBefore w:val="0"/>
      <w:overflowPunct/>
      <w:autoSpaceDE/>
      <w:autoSpaceDN/>
      <w:adjustRightInd/>
      <w:spacing w:before="280" w:after="60" w:line="260" w:lineRule="atLeast"/>
      <w:ind w:left="1134" w:hanging="1134"/>
      <w:textAlignment w:val="auto"/>
      <w:outlineLvl w:val="4"/>
    </w:pPr>
    <w:rPr>
      <w:rFonts w:ascii="Times New Roman" w:hAnsi="Times New Roman"/>
      <w:bCs/>
      <w:kern w:val="28"/>
      <w:sz w:val="24"/>
      <w:szCs w:val="24"/>
    </w:rPr>
  </w:style>
  <w:style w:type="paragraph" w:styleId="Heading6">
    <w:name w:val="heading 6"/>
    <w:basedOn w:val="Normal"/>
    <w:next w:val="Normal"/>
    <w:link w:val="Heading6Char"/>
    <w:uiPriority w:val="9"/>
    <w:semiHidden/>
    <w:unhideWhenUsed/>
    <w:qFormat/>
    <w:rsid w:val="00727ED5"/>
    <w:pPr>
      <w:keepNext/>
      <w:keepLines/>
      <w:spacing w:before="200" w:line="240" w:lineRule="auto"/>
      <w:ind w:left="1152" w:hanging="1152"/>
      <w:outlineLvl w:val="5"/>
    </w:pPr>
    <w:rPr>
      <w:rFonts w:ascii="Cambria" w:eastAsia="Times New Roman" w:hAnsi="Cambria" w:cs="Times New Roman"/>
      <w:i/>
      <w:iCs/>
      <w:color w:val="243F60"/>
      <w:szCs w:val="22"/>
      <w:lang w:val="x-none" w:eastAsia="x-none"/>
    </w:rPr>
  </w:style>
  <w:style w:type="paragraph" w:styleId="Heading7">
    <w:name w:val="heading 7"/>
    <w:basedOn w:val="Normal"/>
    <w:next w:val="Normal"/>
    <w:link w:val="Heading7Char"/>
    <w:uiPriority w:val="9"/>
    <w:semiHidden/>
    <w:unhideWhenUsed/>
    <w:qFormat/>
    <w:rsid w:val="00727ED5"/>
    <w:pPr>
      <w:keepNext/>
      <w:keepLines/>
      <w:spacing w:before="200" w:line="240" w:lineRule="auto"/>
      <w:ind w:left="1296" w:hanging="1296"/>
      <w:outlineLvl w:val="6"/>
    </w:pPr>
    <w:rPr>
      <w:rFonts w:ascii="Cambria" w:eastAsia="Times New Roman" w:hAnsi="Cambria" w:cs="Times New Roman"/>
      <w:i/>
      <w:iCs/>
      <w:color w:val="404040"/>
      <w:szCs w:val="22"/>
      <w:lang w:val="x-none" w:eastAsia="x-none"/>
    </w:rPr>
  </w:style>
  <w:style w:type="paragraph" w:styleId="Heading8">
    <w:name w:val="heading 8"/>
    <w:basedOn w:val="Normal"/>
    <w:next w:val="Normal"/>
    <w:link w:val="Heading8Char"/>
    <w:uiPriority w:val="9"/>
    <w:semiHidden/>
    <w:unhideWhenUsed/>
    <w:qFormat/>
    <w:rsid w:val="00727ED5"/>
    <w:pPr>
      <w:keepNext/>
      <w:keepLines/>
      <w:spacing w:before="200" w:line="240" w:lineRule="auto"/>
      <w:ind w:left="1440" w:hanging="1440"/>
      <w:outlineLvl w:val="7"/>
    </w:pPr>
    <w:rPr>
      <w:rFonts w:ascii="Cambria" w:eastAsia="Times New Roman" w:hAnsi="Cambria" w:cs="Times New Roman"/>
      <w:color w:val="404040"/>
      <w:sz w:val="20"/>
      <w:lang w:val="x-none" w:eastAsia="x-none"/>
    </w:rPr>
  </w:style>
  <w:style w:type="paragraph" w:styleId="Heading9">
    <w:name w:val="heading 9"/>
    <w:basedOn w:val="Normal"/>
    <w:next w:val="Normal"/>
    <w:link w:val="Heading9Char"/>
    <w:uiPriority w:val="9"/>
    <w:semiHidden/>
    <w:unhideWhenUsed/>
    <w:qFormat/>
    <w:rsid w:val="00727ED5"/>
    <w:pPr>
      <w:keepNext/>
      <w:keepLines/>
      <w:spacing w:before="200" w:line="240" w:lineRule="auto"/>
      <w:ind w:left="1584" w:hanging="1584"/>
      <w:outlineLvl w:val="8"/>
    </w:pPr>
    <w:rPr>
      <w:rFonts w:ascii="Cambria" w:eastAsia="Times New Roman" w:hAnsi="Cambria" w:cs="Times New Roman"/>
      <w:i/>
      <w:iCs/>
      <w:color w:val="404040"/>
      <w:sz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PCCharBase">
    <w:name w:val="OPCCharBase"/>
    <w:uiPriority w:val="1"/>
    <w:qFormat/>
    <w:rsid w:val="004855B6"/>
  </w:style>
  <w:style w:type="paragraph" w:customStyle="1" w:styleId="OPCParaBase">
    <w:name w:val="OPCParaBase"/>
    <w:qFormat/>
    <w:rsid w:val="004855B6"/>
    <w:pPr>
      <w:spacing w:line="260" w:lineRule="atLeast"/>
    </w:pPr>
    <w:rPr>
      <w:rFonts w:eastAsia="Times New Roman" w:cs="Times New Roman"/>
      <w:sz w:val="22"/>
      <w:lang w:eastAsia="en-AU"/>
    </w:rPr>
  </w:style>
  <w:style w:type="paragraph" w:customStyle="1" w:styleId="ShortT">
    <w:name w:val="ShortT"/>
    <w:basedOn w:val="OPCParaBase"/>
    <w:next w:val="Normal"/>
    <w:qFormat/>
    <w:rsid w:val="004855B6"/>
    <w:pPr>
      <w:spacing w:line="240" w:lineRule="auto"/>
    </w:pPr>
    <w:rPr>
      <w:b/>
      <w:sz w:val="40"/>
    </w:rPr>
  </w:style>
  <w:style w:type="paragraph" w:customStyle="1" w:styleId="ActHead1">
    <w:name w:val="ActHead 1"/>
    <w:aliases w:val="c"/>
    <w:basedOn w:val="OPCParaBase"/>
    <w:next w:val="Normal"/>
    <w:qFormat/>
    <w:rsid w:val="004855B6"/>
    <w:pPr>
      <w:keepNext/>
      <w:keepLines/>
      <w:spacing w:line="240" w:lineRule="auto"/>
      <w:ind w:left="1134" w:hanging="1134"/>
      <w:outlineLvl w:val="0"/>
    </w:pPr>
    <w:rPr>
      <w:b/>
      <w:kern w:val="28"/>
      <w:sz w:val="36"/>
    </w:rPr>
  </w:style>
  <w:style w:type="paragraph" w:customStyle="1" w:styleId="ActHead2">
    <w:name w:val="ActHead 2"/>
    <w:aliases w:val="p"/>
    <w:basedOn w:val="OPCParaBase"/>
    <w:next w:val="ActHead3"/>
    <w:qFormat/>
    <w:rsid w:val="004855B6"/>
    <w:pPr>
      <w:keepNext/>
      <w:keepLines/>
      <w:spacing w:before="280" w:line="240" w:lineRule="auto"/>
      <w:ind w:left="1134" w:hanging="1134"/>
      <w:outlineLvl w:val="1"/>
    </w:pPr>
    <w:rPr>
      <w:b/>
      <w:kern w:val="28"/>
      <w:sz w:val="32"/>
    </w:rPr>
  </w:style>
  <w:style w:type="paragraph" w:customStyle="1" w:styleId="ActHead3">
    <w:name w:val="ActHead 3"/>
    <w:aliases w:val="d"/>
    <w:basedOn w:val="OPCParaBase"/>
    <w:next w:val="ActHead4"/>
    <w:qFormat/>
    <w:rsid w:val="004855B6"/>
    <w:pPr>
      <w:keepNext/>
      <w:keepLines/>
      <w:spacing w:before="240" w:line="240" w:lineRule="auto"/>
      <w:ind w:left="1134" w:hanging="1134"/>
      <w:outlineLvl w:val="2"/>
    </w:pPr>
    <w:rPr>
      <w:b/>
      <w:kern w:val="28"/>
      <w:sz w:val="28"/>
    </w:rPr>
  </w:style>
  <w:style w:type="paragraph" w:customStyle="1" w:styleId="ActHead4">
    <w:name w:val="ActHead 4"/>
    <w:aliases w:val="sd"/>
    <w:basedOn w:val="OPCParaBase"/>
    <w:next w:val="ActHead5"/>
    <w:qFormat/>
    <w:rsid w:val="004855B6"/>
    <w:pPr>
      <w:keepNext/>
      <w:keepLines/>
      <w:spacing w:before="220" w:line="240" w:lineRule="auto"/>
      <w:ind w:left="1134" w:hanging="1134"/>
      <w:outlineLvl w:val="3"/>
    </w:pPr>
    <w:rPr>
      <w:b/>
      <w:kern w:val="28"/>
      <w:sz w:val="26"/>
    </w:rPr>
  </w:style>
  <w:style w:type="paragraph" w:customStyle="1" w:styleId="ActHead5">
    <w:name w:val="ActHead 5"/>
    <w:aliases w:val="s"/>
    <w:basedOn w:val="OPCParaBase"/>
    <w:next w:val="subsection"/>
    <w:qFormat/>
    <w:rsid w:val="004855B6"/>
    <w:pPr>
      <w:keepNext/>
      <w:keepLines/>
      <w:spacing w:before="280" w:line="240" w:lineRule="auto"/>
      <w:ind w:left="1134" w:hanging="1134"/>
      <w:outlineLvl w:val="4"/>
    </w:pPr>
    <w:rPr>
      <w:b/>
      <w:kern w:val="28"/>
      <w:sz w:val="24"/>
    </w:rPr>
  </w:style>
  <w:style w:type="paragraph" w:customStyle="1" w:styleId="ActHead6">
    <w:name w:val="ActHead 6"/>
    <w:aliases w:val="as"/>
    <w:basedOn w:val="OPCParaBase"/>
    <w:next w:val="ActHead7"/>
    <w:qFormat/>
    <w:rsid w:val="004855B6"/>
    <w:pPr>
      <w:keepNext/>
      <w:keepLines/>
      <w:spacing w:line="240" w:lineRule="auto"/>
      <w:ind w:left="1134" w:hanging="1134"/>
      <w:outlineLvl w:val="5"/>
    </w:pPr>
    <w:rPr>
      <w:rFonts w:ascii="Arial" w:hAnsi="Arial"/>
      <w:b/>
      <w:kern w:val="28"/>
      <w:sz w:val="32"/>
    </w:rPr>
  </w:style>
  <w:style w:type="paragraph" w:customStyle="1" w:styleId="ActHead7">
    <w:name w:val="ActHead 7"/>
    <w:aliases w:val="ap"/>
    <w:basedOn w:val="OPCParaBase"/>
    <w:next w:val="ItemHead"/>
    <w:qFormat/>
    <w:rsid w:val="004855B6"/>
    <w:pPr>
      <w:keepNext/>
      <w:keepLines/>
      <w:spacing w:before="280" w:line="240" w:lineRule="auto"/>
      <w:ind w:left="1134" w:hanging="1134"/>
      <w:outlineLvl w:val="6"/>
    </w:pPr>
    <w:rPr>
      <w:rFonts w:ascii="Arial" w:hAnsi="Arial"/>
      <w:b/>
      <w:kern w:val="28"/>
      <w:sz w:val="28"/>
    </w:rPr>
  </w:style>
  <w:style w:type="paragraph" w:customStyle="1" w:styleId="ActHead8">
    <w:name w:val="ActHead 8"/>
    <w:aliases w:val="ad"/>
    <w:basedOn w:val="OPCParaBase"/>
    <w:next w:val="ItemHead"/>
    <w:qFormat/>
    <w:rsid w:val="004855B6"/>
    <w:pPr>
      <w:keepNext/>
      <w:keepLines/>
      <w:spacing w:before="240" w:line="240" w:lineRule="auto"/>
      <w:ind w:left="1134" w:hanging="1134"/>
      <w:outlineLvl w:val="7"/>
    </w:pPr>
    <w:rPr>
      <w:rFonts w:ascii="Arial" w:hAnsi="Arial"/>
      <w:b/>
      <w:kern w:val="28"/>
      <w:sz w:val="26"/>
    </w:rPr>
  </w:style>
  <w:style w:type="paragraph" w:customStyle="1" w:styleId="ActHead9">
    <w:name w:val="ActHead 9"/>
    <w:aliases w:val="aat"/>
    <w:basedOn w:val="OPCParaBase"/>
    <w:next w:val="ItemHead"/>
    <w:qFormat/>
    <w:rsid w:val="004855B6"/>
    <w:pPr>
      <w:keepNext/>
      <w:keepLines/>
      <w:spacing w:before="280" w:line="240" w:lineRule="auto"/>
      <w:ind w:left="1134" w:hanging="1134"/>
      <w:outlineLvl w:val="8"/>
    </w:pPr>
    <w:rPr>
      <w:b/>
      <w:i/>
      <w:kern w:val="28"/>
      <w:sz w:val="28"/>
    </w:rPr>
  </w:style>
  <w:style w:type="paragraph" w:customStyle="1" w:styleId="Actno">
    <w:name w:val="Actno"/>
    <w:basedOn w:val="ShortT"/>
    <w:next w:val="Normal"/>
    <w:qFormat/>
    <w:rsid w:val="004855B6"/>
  </w:style>
  <w:style w:type="paragraph" w:customStyle="1" w:styleId="Blocks">
    <w:name w:val="Blocks"/>
    <w:aliases w:val="bb"/>
    <w:basedOn w:val="OPCParaBase"/>
    <w:qFormat/>
    <w:rsid w:val="004855B6"/>
    <w:pPr>
      <w:spacing w:line="240" w:lineRule="auto"/>
    </w:pPr>
    <w:rPr>
      <w:sz w:val="24"/>
    </w:rPr>
  </w:style>
  <w:style w:type="paragraph" w:customStyle="1" w:styleId="BoxText">
    <w:name w:val="BoxText"/>
    <w:aliases w:val="bt"/>
    <w:basedOn w:val="OPCParaBase"/>
    <w:rsid w:val="004855B6"/>
    <w:pPr>
      <w:pBdr>
        <w:top w:val="single" w:sz="6" w:space="5" w:color="auto"/>
        <w:left w:val="single" w:sz="6" w:space="5" w:color="auto"/>
        <w:bottom w:val="single" w:sz="6" w:space="5" w:color="auto"/>
        <w:right w:val="single" w:sz="6" w:space="5" w:color="auto"/>
      </w:pBdr>
      <w:spacing w:before="240" w:line="240" w:lineRule="auto"/>
      <w:ind w:left="1134"/>
    </w:pPr>
  </w:style>
  <w:style w:type="paragraph" w:customStyle="1" w:styleId="BoxHeadBold">
    <w:name w:val="BoxHeadBold"/>
    <w:aliases w:val="bhb"/>
    <w:basedOn w:val="BoxText"/>
    <w:next w:val="BoxText"/>
    <w:qFormat/>
    <w:rsid w:val="004855B6"/>
    <w:rPr>
      <w:b/>
    </w:rPr>
  </w:style>
  <w:style w:type="paragraph" w:customStyle="1" w:styleId="BoxHeadItalic">
    <w:name w:val="BoxHeadItalic"/>
    <w:aliases w:val="bhi"/>
    <w:basedOn w:val="BoxText"/>
    <w:next w:val="Normal"/>
    <w:qFormat/>
    <w:rsid w:val="004855B6"/>
    <w:rPr>
      <w:i/>
    </w:rPr>
  </w:style>
  <w:style w:type="paragraph" w:customStyle="1" w:styleId="BoxList">
    <w:name w:val="BoxList"/>
    <w:aliases w:val="bl"/>
    <w:basedOn w:val="BoxText"/>
    <w:qFormat/>
    <w:rsid w:val="004855B6"/>
    <w:pPr>
      <w:ind w:left="1559" w:hanging="425"/>
    </w:pPr>
  </w:style>
  <w:style w:type="paragraph" w:customStyle="1" w:styleId="BoxNote">
    <w:name w:val="BoxNote"/>
    <w:aliases w:val="bn"/>
    <w:basedOn w:val="BoxText"/>
    <w:qFormat/>
    <w:rsid w:val="004855B6"/>
    <w:pPr>
      <w:tabs>
        <w:tab w:val="left" w:pos="1985"/>
      </w:tabs>
      <w:spacing w:before="122" w:line="198" w:lineRule="exact"/>
      <w:ind w:left="2948" w:hanging="1814"/>
    </w:pPr>
    <w:rPr>
      <w:sz w:val="18"/>
    </w:rPr>
  </w:style>
  <w:style w:type="paragraph" w:customStyle="1" w:styleId="BoxPara">
    <w:name w:val="BoxPara"/>
    <w:aliases w:val="bp"/>
    <w:basedOn w:val="BoxText"/>
    <w:qFormat/>
    <w:rsid w:val="004855B6"/>
    <w:pPr>
      <w:tabs>
        <w:tab w:val="right" w:pos="2268"/>
      </w:tabs>
      <w:ind w:left="2552" w:hanging="1418"/>
    </w:pPr>
  </w:style>
  <w:style w:type="paragraph" w:customStyle="1" w:styleId="BoxStep">
    <w:name w:val="BoxStep"/>
    <w:aliases w:val="bs"/>
    <w:basedOn w:val="BoxText"/>
    <w:qFormat/>
    <w:rsid w:val="004855B6"/>
    <w:pPr>
      <w:ind w:left="1985" w:hanging="851"/>
    </w:pPr>
  </w:style>
  <w:style w:type="character" w:customStyle="1" w:styleId="CharAmPartNo">
    <w:name w:val="CharAmPartNo"/>
    <w:basedOn w:val="OPCCharBase"/>
    <w:uiPriority w:val="1"/>
    <w:qFormat/>
    <w:rsid w:val="004855B6"/>
  </w:style>
  <w:style w:type="character" w:customStyle="1" w:styleId="CharAmPartText">
    <w:name w:val="CharAmPartText"/>
    <w:basedOn w:val="OPCCharBase"/>
    <w:uiPriority w:val="1"/>
    <w:qFormat/>
    <w:rsid w:val="004855B6"/>
  </w:style>
  <w:style w:type="character" w:customStyle="1" w:styleId="CharAmSchNo">
    <w:name w:val="CharAmSchNo"/>
    <w:basedOn w:val="OPCCharBase"/>
    <w:uiPriority w:val="1"/>
    <w:qFormat/>
    <w:rsid w:val="004855B6"/>
  </w:style>
  <w:style w:type="character" w:customStyle="1" w:styleId="CharAmSchText">
    <w:name w:val="CharAmSchText"/>
    <w:basedOn w:val="OPCCharBase"/>
    <w:uiPriority w:val="1"/>
    <w:qFormat/>
    <w:rsid w:val="004855B6"/>
  </w:style>
  <w:style w:type="character" w:customStyle="1" w:styleId="CharBoldItalic">
    <w:name w:val="CharBoldItalic"/>
    <w:basedOn w:val="OPCCharBase"/>
    <w:uiPriority w:val="1"/>
    <w:qFormat/>
    <w:rsid w:val="004855B6"/>
    <w:rPr>
      <w:b/>
      <w:i/>
    </w:rPr>
  </w:style>
  <w:style w:type="character" w:customStyle="1" w:styleId="CharChapNo">
    <w:name w:val="CharChapNo"/>
    <w:basedOn w:val="OPCCharBase"/>
    <w:uiPriority w:val="1"/>
    <w:qFormat/>
    <w:rsid w:val="004855B6"/>
  </w:style>
  <w:style w:type="character" w:customStyle="1" w:styleId="CharChapText">
    <w:name w:val="CharChapText"/>
    <w:basedOn w:val="OPCCharBase"/>
    <w:uiPriority w:val="1"/>
    <w:qFormat/>
    <w:rsid w:val="004855B6"/>
  </w:style>
  <w:style w:type="character" w:customStyle="1" w:styleId="CharDivNo">
    <w:name w:val="CharDivNo"/>
    <w:basedOn w:val="OPCCharBase"/>
    <w:uiPriority w:val="1"/>
    <w:qFormat/>
    <w:rsid w:val="004855B6"/>
  </w:style>
  <w:style w:type="character" w:customStyle="1" w:styleId="CharDivText">
    <w:name w:val="CharDivText"/>
    <w:basedOn w:val="OPCCharBase"/>
    <w:uiPriority w:val="1"/>
    <w:qFormat/>
    <w:rsid w:val="004855B6"/>
  </w:style>
  <w:style w:type="character" w:customStyle="1" w:styleId="CharItalic">
    <w:name w:val="CharItalic"/>
    <w:basedOn w:val="OPCCharBase"/>
    <w:uiPriority w:val="1"/>
    <w:qFormat/>
    <w:rsid w:val="004855B6"/>
    <w:rPr>
      <w:i/>
    </w:rPr>
  </w:style>
  <w:style w:type="character" w:customStyle="1" w:styleId="CharPartNo">
    <w:name w:val="CharPartNo"/>
    <w:basedOn w:val="OPCCharBase"/>
    <w:uiPriority w:val="1"/>
    <w:qFormat/>
    <w:rsid w:val="004855B6"/>
  </w:style>
  <w:style w:type="character" w:customStyle="1" w:styleId="CharPartText">
    <w:name w:val="CharPartText"/>
    <w:basedOn w:val="OPCCharBase"/>
    <w:uiPriority w:val="1"/>
    <w:qFormat/>
    <w:rsid w:val="004855B6"/>
  </w:style>
  <w:style w:type="character" w:customStyle="1" w:styleId="CharSectno">
    <w:name w:val="CharSectno"/>
    <w:basedOn w:val="OPCCharBase"/>
    <w:uiPriority w:val="1"/>
    <w:qFormat/>
    <w:rsid w:val="004855B6"/>
  </w:style>
  <w:style w:type="character" w:customStyle="1" w:styleId="CharSubdNo">
    <w:name w:val="CharSubdNo"/>
    <w:basedOn w:val="OPCCharBase"/>
    <w:uiPriority w:val="1"/>
    <w:qFormat/>
    <w:rsid w:val="004855B6"/>
  </w:style>
  <w:style w:type="character" w:customStyle="1" w:styleId="CharSubdText">
    <w:name w:val="CharSubdText"/>
    <w:basedOn w:val="OPCCharBase"/>
    <w:uiPriority w:val="1"/>
    <w:qFormat/>
    <w:rsid w:val="004855B6"/>
  </w:style>
  <w:style w:type="paragraph" w:customStyle="1" w:styleId="CTA--">
    <w:name w:val="CTA --"/>
    <w:basedOn w:val="OPCParaBase"/>
    <w:next w:val="Normal"/>
    <w:rsid w:val="004855B6"/>
    <w:pPr>
      <w:spacing w:before="60" w:line="240" w:lineRule="atLeast"/>
      <w:ind w:left="142" w:hanging="142"/>
    </w:pPr>
    <w:rPr>
      <w:sz w:val="20"/>
    </w:rPr>
  </w:style>
  <w:style w:type="paragraph" w:customStyle="1" w:styleId="CTA-">
    <w:name w:val="CTA -"/>
    <w:basedOn w:val="OPCParaBase"/>
    <w:rsid w:val="004855B6"/>
    <w:pPr>
      <w:spacing w:before="60" w:line="240" w:lineRule="atLeast"/>
      <w:ind w:left="85" w:hanging="85"/>
    </w:pPr>
    <w:rPr>
      <w:sz w:val="20"/>
    </w:rPr>
  </w:style>
  <w:style w:type="paragraph" w:customStyle="1" w:styleId="CTA---">
    <w:name w:val="CTA ---"/>
    <w:basedOn w:val="OPCParaBase"/>
    <w:next w:val="Normal"/>
    <w:rsid w:val="004855B6"/>
    <w:pPr>
      <w:spacing w:before="60" w:line="240" w:lineRule="atLeast"/>
      <w:ind w:left="198" w:hanging="198"/>
    </w:pPr>
    <w:rPr>
      <w:sz w:val="20"/>
    </w:rPr>
  </w:style>
  <w:style w:type="paragraph" w:customStyle="1" w:styleId="CTA----">
    <w:name w:val="CTA ----"/>
    <w:basedOn w:val="OPCParaBase"/>
    <w:next w:val="Normal"/>
    <w:rsid w:val="004855B6"/>
    <w:pPr>
      <w:spacing w:before="60" w:line="240" w:lineRule="atLeast"/>
      <w:ind w:left="255" w:hanging="255"/>
    </w:pPr>
    <w:rPr>
      <w:sz w:val="20"/>
    </w:rPr>
  </w:style>
  <w:style w:type="paragraph" w:customStyle="1" w:styleId="CTA1a">
    <w:name w:val="CTA 1(a)"/>
    <w:basedOn w:val="OPCParaBase"/>
    <w:rsid w:val="004855B6"/>
    <w:pPr>
      <w:tabs>
        <w:tab w:val="right" w:pos="414"/>
      </w:tabs>
      <w:spacing w:before="40" w:line="240" w:lineRule="atLeast"/>
      <w:ind w:left="675" w:hanging="675"/>
    </w:pPr>
    <w:rPr>
      <w:sz w:val="20"/>
    </w:rPr>
  </w:style>
  <w:style w:type="paragraph" w:customStyle="1" w:styleId="CTA1ai">
    <w:name w:val="CTA 1(a)(i)"/>
    <w:basedOn w:val="OPCParaBase"/>
    <w:rsid w:val="004855B6"/>
    <w:pPr>
      <w:tabs>
        <w:tab w:val="right" w:pos="1004"/>
      </w:tabs>
      <w:spacing w:before="40" w:line="240" w:lineRule="atLeast"/>
      <w:ind w:left="1253" w:hanging="1253"/>
    </w:pPr>
    <w:rPr>
      <w:sz w:val="20"/>
    </w:rPr>
  </w:style>
  <w:style w:type="paragraph" w:customStyle="1" w:styleId="CTA2a">
    <w:name w:val="CTA 2(a)"/>
    <w:basedOn w:val="OPCParaBase"/>
    <w:rsid w:val="004855B6"/>
    <w:pPr>
      <w:tabs>
        <w:tab w:val="right" w:pos="482"/>
      </w:tabs>
      <w:spacing w:before="40" w:line="240" w:lineRule="atLeast"/>
      <w:ind w:left="748" w:hanging="748"/>
    </w:pPr>
    <w:rPr>
      <w:sz w:val="20"/>
    </w:rPr>
  </w:style>
  <w:style w:type="paragraph" w:customStyle="1" w:styleId="CTA2ai">
    <w:name w:val="CTA 2(a)(i)"/>
    <w:basedOn w:val="OPCParaBase"/>
    <w:rsid w:val="004855B6"/>
    <w:pPr>
      <w:tabs>
        <w:tab w:val="right" w:pos="1089"/>
      </w:tabs>
      <w:spacing w:before="40" w:line="240" w:lineRule="atLeast"/>
      <w:ind w:left="1327" w:hanging="1327"/>
    </w:pPr>
    <w:rPr>
      <w:sz w:val="20"/>
    </w:rPr>
  </w:style>
  <w:style w:type="paragraph" w:customStyle="1" w:styleId="CTA3a">
    <w:name w:val="CTA 3(a)"/>
    <w:basedOn w:val="OPCParaBase"/>
    <w:rsid w:val="004855B6"/>
    <w:pPr>
      <w:tabs>
        <w:tab w:val="right" w:pos="556"/>
      </w:tabs>
      <w:spacing w:before="40" w:line="240" w:lineRule="atLeast"/>
      <w:ind w:left="805" w:hanging="805"/>
    </w:pPr>
    <w:rPr>
      <w:sz w:val="20"/>
    </w:rPr>
  </w:style>
  <w:style w:type="paragraph" w:customStyle="1" w:styleId="CTA3ai">
    <w:name w:val="CTA 3(a)(i)"/>
    <w:basedOn w:val="OPCParaBase"/>
    <w:rsid w:val="004855B6"/>
    <w:pPr>
      <w:tabs>
        <w:tab w:val="right" w:pos="1140"/>
      </w:tabs>
      <w:spacing w:before="40" w:line="240" w:lineRule="atLeast"/>
      <w:ind w:left="1361" w:hanging="1361"/>
    </w:pPr>
    <w:rPr>
      <w:sz w:val="20"/>
    </w:rPr>
  </w:style>
  <w:style w:type="paragraph" w:customStyle="1" w:styleId="CTA4a">
    <w:name w:val="CTA 4(a)"/>
    <w:basedOn w:val="OPCParaBase"/>
    <w:rsid w:val="004855B6"/>
    <w:pPr>
      <w:tabs>
        <w:tab w:val="right" w:pos="624"/>
      </w:tabs>
      <w:spacing w:before="40" w:line="240" w:lineRule="atLeast"/>
      <w:ind w:left="873" w:hanging="873"/>
    </w:pPr>
    <w:rPr>
      <w:sz w:val="20"/>
    </w:rPr>
  </w:style>
  <w:style w:type="paragraph" w:customStyle="1" w:styleId="CTA4ai">
    <w:name w:val="CTA 4(a)(i)"/>
    <w:basedOn w:val="OPCParaBase"/>
    <w:rsid w:val="004855B6"/>
    <w:pPr>
      <w:tabs>
        <w:tab w:val="right" w:pos="1213"/>
      </w:tabs>
      <w:spacing w:before="40" w:line="240" w:lineRule="atLeast"/>
      <w:ind w:left="1452" w:hanging="1452"/>
    </w:pPr>
    <w:rPr>
      <w:sz w:val="20"/>
    </w:rPr>
  </w:style>
  <w:style w:type="paragraph" w:customStyle="1" w:styleId="CTACAPS">
    <w:name w:val="CTA CAPS"/>
    <w:basedOn w:val="OPCParaBase"/>
    <w:rsid w:val="004855B6"/>
    <w:pPr>
      <w:spacing w:before="60" w:line="240" w:lineRule="atLeast"/>
    </w:pPr>
    <w:rPr>
      <w:sz w:val="20"/>
    </w:rPr>
  </w:style>
  <w:style w:type="paragraph" w:customStyle="1" w:styleId="CTAright">
    <w:name w:val="CTA right"/>
    <w:basedOn w:val="OPCParaBase"/>
    <w:rsid w:val="004855B6"/>
    <w:pPr>
      <w:spacing w:before="60" w:line="240" w:lineRule="auto"/>
      <w:jc w:val="right"/>
    </w:pPr>
    <w:rPr>
      <w:sz w:val="20"/>
    </w:rPr>
  </w:style>
  <w:style w:type="paragraph" w:customStyle="1" w:styleId="subsection">
    <w:name w:val="subsection"/>
    <w:aliases w:val="ss"/>
    <w:basedOn w:val="OPCParaBase"/>
    <w:link w:val="subsectionChar"/>
    <w:rsid w:val="004855B6"/>
    <w:pPr>
      <w:tabs>
        <w:tab w:val="right" w:pos="1021"/>
      </w:tabs>
      <w:spacing w:before="180" w:line="240" w:lineRule="auto"/>
      <w:ind w:left="1134" w:hanging="1134"/>
    </w:pPr>
  </w:style>
  <w:style w:type="paragraph" w:customStyle="1" w:styleId="Definition">
    <w:name w:val="Definition"/>
    <w:aliases w:val="dd"/>
    <w:basedOn w:val="OPCParaBase"/>
    <w:rsid w:val="004855B6"/>
    <w:pPr>
      <w:spacing w:before="180" w:line="240" w:lineRule="auto"/>
      <w:ind w:left="1134"/>
    </w:pPr>
  </w:style>
  <w:style w:type="paragraph" w:customStyle="1" w:styleId="ETAsubitem">
    <w:name w:val="ETA(subitem)"/>
    <w:basedOn w:val="OPCParaBase"/>
    <w:rsid w:val="004855B6"/>
    <w:pPr>
      <w:tabs>
        <w:tab w:val="right" w:pos="340"/>
      </w:tabs>
      <w:spacing w:before="60" w:line="240" w:lineRule="auto"/>
      <w:ind w:left="454" w:hanging="454"/>
    </w:pPr>
    <w:rPr>
      <w:sz w:val="20"/>
    </w:rPr>
  </w:style>
  <w:style w:type="paragraph" w:customStyle="1" w:styleId="ETApara">
    <w:name w:val="ETA(para)"/>
    <w:basedOn w:val="OPCParaBase"/>
    <w:rsid w:val="004855B6"/>
    <w:pPr>
      <w:tabs>
        <w:tab w:val="right" w:pos="754"/>
      </w:tabs>
      <w:spacing w:before="60" w:line="240" w:lineRule="auto"/>
      <w:ind w:left="828" w:hanging="828"/>
    </w:pPr>
    <w:rPr>
      <w:sz w:val="20"/>
    </w:rPr>
  </w:style>
  <w:style w:type="paragraph" w:customStyle="1" w:styleId="ETAsubpara">
    <w:name w:val="ETA(subpara)"/>
    <w:basedOn w:val="OPCParaBase"/>
    <w:rsid w:val="004855B6"/>
    <w:pPr>
      <w:tabs>
        <w:tab w:val="right" w:pos="1083"/>
      </w:tabs>
      <w:spacing w:before="60" w:line="240" w:lineRule="auto"/>
      <w:ind w:left="1191" w:hanging="1191"/>
    </w:pPr>
    <w:rPr>
      <w:sz w:val="20"/>
    </w:rPr>
  </w:style>
  <w:style w:type="paragraph" w:customStyle="1" w:styleId="ETAsub-subpara">
    <w:name w:val="ETA(sub-subpara)"/>
    <w:basedOn w:val="OPCParaBase"/>
    <w:rsid w:val="004855B6"/>
    <w:pPr>
      <w:tabs>
        <w:tab w:val="right" w:pos="1412"/>
      </w:tabs>
      <w:spacing w:before="60" w:line="240" w:lineRule="auto"/>
      <w:ind w:left="1525" w:hanging="1525"/>
    </w:pPr>
    <w:rPr>
      <w:sz w:val="20"/>
    </w:rPr>
  </w:style>
  <w:style w:type="paragraph" w:customStyle="1" w:styleId="Formula">
    <w:name w:val="Formula"/>
    <w:basedOn w:val="OPCParaBase"/>
    <w:rsid w:val="004855B6"/>
    <w:pPr>
      <w:spacing w:line="240" w:lineRule="auto"/>
      <w:ind w:left="1134"/>
    </w:pPr>
    <w:rPr>
      <w:sz w:val="20"/>
    </w:rPr>
  </w:style>
  <w:style w:type="paragraph" w:styleId="Header">
    <w:name w:val="header"/>
    <w:basedOn w:val="OPCParaBase"/>
    <w:link w:val="HeaderChar"/>
    <w:unhideWhenUsed/>
    <w:rsid w:val="004855B6"/>
    <w:pPr>
      <w:keepNext/>
      <w:keepLines/>
      <w:tabs>
        <w:tab w:val="center" w:pos="4150"/>
        <w:tab w:val="right" w:pos="8307"/>
      </w:tabs>
      <w:spacing w:line="160" w:lineRule="exact"/>
    </w:pPr>
    <w:rPr>
      <w:sz w:val="16"/>
    </w:rPr>
  </w:style>
  <w:style w:type="character" w:customStyle="1" w:styleId="HeaderChar">
    <w:name w:val="Header Char"/>
    <w:basedOn w:val="DefaultParagraphFont"/>
    <w:link w:val="Header"/>
    <w:rsid w:val="004855B6"/>
    <w:rPr>
      <w:rFonts w:eastAsia="Times New Roman" w:cs="Times New Roman"/>
      <w:sz w:val="16"/>
      <w:lang w:eastAsia="en-AU"/>
    </w:rPr>
  </w:style>
  <w:style w:type="paragraph" w:customStyle="1" w:styleId="House">
    <w:name w:val="House"/>
    <w:basedOn w:val="OPCParaBase"/>
    <w:rsid w:val="004855B6"/>
    <w:pPr>
      <w:spacing w:line="240" w:lineRule="auto"/>
    </w:pPr>
    <w:rPr>
      <w:sz w:val="28"/>
    </w:rPr>
  </w:style>
  <w:style w:type="paragraph" w:customStyle="1" w:styleId="Item">
    <w:name w:val="Item"/>
    <w:aliases w:val="i"/>
    <w:basedOn w:val="OPCParaBase"/>
    <w:next w:val="ItemHead"/>
    <w:rsid w:val="004855B6"/>
    <w:pPr>
      <w:keepLines/>
      <w:spacing w:before="80" w:line="240" w:lineRule="auto"/>
      <w:ind w:left="709"/>
    </w:pPr>
  </w:style>
  <w:style w:type="paragraph" w:customStyle="1" w:styleId="ItemHead">
    <w:name w:val="ItemHead"/>
    <w:aliases w:val="ih"/>
    <w:basedOn w:val="OPCParaBase"/>
    <w:next w:val="Item"/>
    <w:rsid w:val="004855B6"/>
    <w:pPr>
      <w:keepLines/>
      <w:spacing w:before="220" w:line="240" w:lineRule="auto"/>
      <w:ind w:left="709" w:hanging="709"/>
    </w:pPr>
    <w:rPr>
      <w:rFonts w:ascii="Arial" w:hAnsi="Arial"/>
      <w:b/>
      <w:kern w:val="28"/>
      <w:sz w:val="24"/>
    </w:rPr>
  </w:style>
  <w:style w:type="paragraph" w:customStyle="1" w:styleId="LongT">
    <w:name w:val="LongT"/>
    <w:basedOn w:val="OPCParaBase"/>
    <w:rsid w:val="004855B6"/>
    <w:pPr>
      <w:spacing w:line="240" w:lineRule="auto"/>
    </w:pPr>
    <w:rPr>
      <w:b/>
      <w:sz w:val="32"/>
    </w:rPr>
  </w:style>
  <w:style w:type="paragraph" w:customStyle="1" w:styleId="notedraft">
    <w:name w:val="note(draft)"/>
    <w:aliases w:val="nd"/>
    <w:basedOn w:val="OPCParaBase"/>
    <w:rsid w:val="004855B6"/>
    <w:pPr>
      <w:spacing w:before="240" w:line="240" w:lineRule="auto"/>
      <w:ind w:left="284" w:hanging="284"/>
    </w:pPr>
    <w:rPr>
      <w:i/>
      <w:sz w:val="24"/>
    </w:rPr>
  </w:style>
  <w:style w:type="paragraph" w:customStyle="1" w:styleId="notemargin">
    <w:name w:val="note(margin)"/>
    <w:aliases w:val="nm"/>
    <w:basedOn w:val="OPCParaBase"/>
    <w:rsid w:val="004855B6"/>
    <w:pPr>
      <w:tabs>
        <w:tab w:val="left" w:pos="709"/>
      </w:tabs>
      <w:spacing w:before="122" w:line="198" w:lineRule="exact"/>
      <w:ind w:left="709" w:hanging="709"/>
    </w:pPr>
    <w:rPr>
      <w:sz w:val="18"/>
    </w:rPr>
  </w:style>
  <w:style w:type="paragraph" w:customStyle="1" w:styleId="notepara">
    <w:name w:val="note(para)"/>
    <w:aliases w:val="na"/>
    <w:basedOn w:val="OPCParaBase"/>
    <w:rsid w:val="004855B6"/>
    <w:pPr>
      <w:spacing w:before="40" w:line="198" w:lineRule="exact"/>
      <w:ind w:left="2354" w:hanging="369"/>
    </w:pPr>
    <w:rPr>
      <w:sz w:val="18"/>
    </w:rPr>
  </w:style>
  <w:style w:type="paragraph" w:customStyle="1" w:styleId="noteParlAmend">
    <w:name w:val="note(ParlAmend)"/>
    <w:aliases w:val="npp"/>
    <w:basedOn w:val="OPCParaBase"/>
    <w:next w:val="ParlAmend"/>
    <w:rsid w:val="004855B6"/>
    <w:pPr>
      <w:spacing w:line="240" w:lineRule="auto"/>
      <w:jc w:val="right"/>
    </w:pPr>
    <w:rPr>
      <w:rFonts w:ascii="Arial" w:hAnsi="Arial"/>
      <w:b/>
      <w:i/>
    </w:rPr>
  </w:style>
  <w:style w:type="paragraph" w:customStyle="1" w:styleId="Page1">
    <w:name w:val="Page1"/>
    <w:basedOn w:val="OPCParaBase"/>
    <w:rsid w:val="004855B6"/>
    <w:pPr>
      <w:spacing w:before="5600" w:line="240" w:lineRule="auto"/>
    </w:pPr>
    <w:rPr>
      <w:b/>
      <w:sz w:val="32"/>
    </w:rPr>
  </w:style>
  <w:style w:type="paragraph" w:customStyle="1" w:styleId="PageBreak">
    <w:name w:val="PageBreak"/>
    <w:aliases w:val="pb"/>
    <w:basedOn w:val="OPCParaBase"/>
    <w:rsid w:val="004855B6"/>
    <w:pPr>
      <w:spacing w:line="240" w:lineRule="auto"/>
    </w:pPr>
    <w:rPr>
      <w:sz w:val="10"/>
    </w:rPr>
  </w:style>
  <w:style w:type="paragraph" w:customStyle="1" w:styleId="paragraphsub">
    <w:name w:val="paragraph(sub)"/>
    <w:aliases w:val="aa"/>
    <w:basedOn w:val="OPCParaBase"/>
    <w:rsid w:val="004855B6"/>
    <w:pPr>
      <w:tabs>
        <w:tab w:val="right" w:pos="1985"/>
      </w:tabs>
      <w:spacing w:before="40" w:line="240" w:lineRule="auto"/>
      <w:ind w:left="2098" w:hanging="2098"/>
    </w:pPr>
  </w:style>
  <w:style w:type="paragraph" w:customStyle="1" w:styleId="paragraphsub-sub">
    <w:name w:val="paragraph(sub-sub)"/>
    <w:aliases w:val="aaa"/>
    <w:basedOn w:val="OPCParaBase"/>
    <w:rsid w:val="004855B6"/>
    <w:pPr>
      <w:tabs>
        <w:tab w:val="right" w:pos="2722"/>
      </w:tabs>
      <w:spacing w:before="40" w:line="240" w:lineRule="auto"/>
      <w:ind w:left="2835" w:hanging="2835"/>
    </w:pPr>
  </w:style>
  <w:style w:type="paragraph" w:customStyle="1" w:styleId="paragraph">
    <w:name w:val="paragraph"/>
    <w:aliases w:val="a"/>
    <w:basedOn w:val="OPCParaBase"/>
    <w:link w:val="paragraphChar"/>
    <w:rsid w:val="004855B6"/>
    <w:pPr>
      <w:tabs>
        <w:tab w:val="right" w:pos="1531"/>
      </w:tabs>
      <w:spacing w:before="40" w:line="240" w:lineRule="auto"/>
      <w:ind w:left="1644" w:hanging="1644"/>
    </w:pPr>
  </w:style>
  <w:style w:type="paragraph" w:customStyle="1" w:styleId="ParlAmend">
    <w:name w:val="ParlAmend"/>
    <w:aliases w:val="pp"/>
    <w:basedOn w:val="OPCParaBase"/>
    <w:rsid w:val="004855B6"/>
    <w:pPr>
      <w:spacing w:before="240" w:line="240" w:lineRule="atLeast"/>
      <w:ind w:hanging="567"/>
    </w:pPr>
    <w:rPr>
      <w:sz w:val="24"/>
    </w:rPr>
  </w:style>
  <w:style w:type="paragraph" w:customStyle="1" w:styleId="Penalty">
    <w:name w:val="Penalty"/>
    <w:basedOn w:val="OPCParaBase"/>
    <w:rsid w:val="004855B6"/>
    <w:pPr>
      <w:tabs>
        <w:tab w:val="left" w:pos="2977"/>
      </w:tabs>
      <w:spacing w:before="180" w:line="240" w:lineRule="auto"/>
      <w:ind w:left="1985" w:hanging="851"/>
    </w:pPr>
  </w:style>
  <w:style w:type="paragraph" w:customStyle="1" w:styleId="Portfolio">
    <w:name w:val="Portfolio"/>
    <w:basedOn w:val="OPCParaBase"/>
    <w:rsid w:val="004855B6"/>
    <w:pPr>
      <w:spacing w:line="240" w:lineRule="auto"/>
    </w:pPr>
    <w:rPr>
      <w:i/>
      <w:sz w:val="20"/>
    </w:rPr>
  </w:style>
  <w:style w:type="paragraph" w:customStyle="1" w:styleId="Preamble">
    <w:name w:val="Preamble"/>
    <w:basedOn w:val="OPCParaBase"/>
    <w:next w:val="Normal"/>
    <w:rsid w:val="004855B6"/>
    <w:pPr>
      <w:keepNext/>
      <w:keepLines/>
      <w:tabs>
        <w:tab w:val="center" w:pos="4513"/>
      </w:tabs>
      <w:spacing w:before="280" w:line="240" w:lineRule="auto"/>
      <w:ind w:left="1134" w:hanging="1134"/>
    </w:pPr>
    <w:rPr>
      <w:b/>
      <w:kern w:val="28"/>
      <w:sz w:val="28"/>
    </w:rPr>
  </w:style>
  <w:style w:type="paragraph" w:customStyle="1" w:styleId="Reading">
    <w:name w:val="Reading"/>
    <w:basedOn w:val="OPCParaBase"/>
    <w:rsid w:val="004855B6"/>
    <w:pPr>
      <w:spacing w:line="240" w:lineRule="auto"/>
    </w:pPr>
    <w:rPr>
      <w:i/>
      <w:sz w:val="20"/>
    </w:rPr>
  </w:style>
  <w:style w:type="paragraph" w:customStyle="1" w:styleId="Session">
    <w:name w:val="Session"/>
    <w:basedOn w:val="OPCParaBase"/>
    <w:rsid w:val="004855B6"/>
    <w:pPr>
      <w:spacing w:line="240" w:lineRule="auto"/>
    </w:pPr>
    <w:rPr>
      <w:sz w:val="28"/>
    </w:rPr>
  </w:style>
  <w:style w:type="paragraph" w:customStyle="1" w:styleId="Sponsor">
    <w:name w:val="Sponsor"/>
    <w:basedOn w:val="OPCParaBase"/>
    <w:rsid w:val="004855B6"/>
    <w:pPr>
      <w:spacing w:line="240" w:lineRule="auto"/>
    </w:pPr>
    <w:rPr>
      <w:i/>
    </w:rPr>
  </w:style>
  <w:style w:type="paragraph" w:customStyle="1" w:styleId="Subitem">
    <w:name w:val="Subitem"/>
    <w:aliases w:val="iss"/>
    <w:basedOn w:val="OPCParaBase"/>
    <w:rsid w:val="004855B6"/>
    <w:pPr>
      <w:spacing w:before="180" w:line="240" w:lineRule="auto"/>
      <w:ind w:left="709" w:hanging="709"/>
    </w:pPr>
  </w:style>
  <w:style w:type="paragraph" w:customStyle="1" w:styleId="SubitemHead">
    <w:name w:val="SubitemHead"/>
    <w:aliases w:val="issh"/>
    <w:basedOn w:val="OPCParaBase"/>
    <w:rsid w:val="004855B6"/>
    <w:pPr>
      <w:keepNext/>
      <w:keepLines/>
      <w:spacing w:before="220" w:line="240" w:lineRule="auto"/>
      <w:ind w:left="709"/>
    </w:pPr>
    <w:rPr>
      <w:rFonts w:ascii="Arial" w:hAnsi="Arial"/>
      <w:i/>
      <w:kern w:val="28"/>
    </w:rPr>
  </w:style>
  <w:style w:type="paragraph" w:customStyle="1" w:styleId="subsection2">
    <w:name w:val="subsection2"/>
    <w:aliases w:val="ss2"/>
    <w:basedOn w:val="OPCParaBase"/>
    <w:next w:val="subsection"/>
    <w:rsid w:val="004855B6"/>
    <w:pPr>
      <w:spacing w:before="40" w:line="240" w:lineRule="auto"/>
      <w:ind w:left="1134"/>
    </w:pPr>
  </w:style>
  <w:style w:type="paragraph" w:customStyle="1" w:styleId="SubsectionHead">
    <w:name w:val="SubsectionHead"/>
    <w:aliases w:val="ssh"/>
    <w:basedOn w:val="OPCParaBase"/>
    <w:next w:val="subsection"/>
    <w:rsid w:val="004855B6"/>
    <w:pPr>
      <w:keepNext/>
      <w:keepLines/>
      <w:spacing w:before="240" w:line="240" w:lineRule="auto"/>
      <w:ind w:left="1134"/>
    </w:pPr>
    <w:rPr>
      <w:i/>
    </w:rPr>
  </w:style>
  <w:style w:type="paragraph" w:customStyle="1" w:styleId="Tablea">
    <w:name w:val="Table(a)"/>
    <w:aliases w:val="ta"/>
    <w:basedOn w:val="OPCParaBase"/>
    <w:rsid w:val="004855B6"/>
    <w:pPr>
      <w:spacing w:before="60" w:line="240" w:lineRule="auto"/>
      <w:ind w:left="284" w:hanging="284"/>
    </w:pPr>
    <w:rPr>
      <w:sz w:val="20"/>
    </w:rPr>
  </w:style>
  <w:style w:type="paragraph" w:customStyle="1" w:styleId="TableAA">
    <w:name w:val="Table(AA)"/>
    <w:aliases w:val="taaa"/>
    <w:basedOn w:val="OPCParaBase"/>
    <w:rsid w:val="004855B6"/>
    <w:pPr>
      <w:tabs>
        <w:tab w:val="left" w:pos="-6543"/>
        <w:tab w:val="left" w:pos="-6260"/>
      </w:tabs>
      <w:spacing w:line="240" w:lineRule="exact"/>
      <w:ind w:left="1055" w:hanging="284"/>
    </w:pPr>
    <w:rPr>
      <w:sz w:val="20"/>
    </w:rPr>
  </w:style>
  <w:style w:type="paragraph" w:customStyle="1" w:styleId="Tablei">
    <w:name w:val="Table(i)"/>
    <w:aliases w:val="taa"/>
    <w:basedOn w:val="OPCParaBase"/>
    <w:rsid w:val="004855B6"/>
    <w:pPr>
      <w:tabs>
        <w:tab w:val="left" w:pos="-6543"/>
        <w:tab w:val="left" w:pos="-6260"/>
        <w:tab w:val="right" w:pos="970"/>
      </w:tabs>
      <w:spacing w:line="240" w:lineRule="exact"/>
      <w:ind w:left="828" w:hanging="284"/>
    </w:pPr>
    <w:rPr>
      <w:sz w:val="20"/>
    </w:rPr>
  </w:style>
  <w:style w:type="paragraph" w:customStyle="1" w:styleId="Tabletext">
    <w:name w:val="Tabletext"/>
    <w:aliases w:val="tt"/>
    <w:basedOn w:val="OPCParaBase"/>
    <w:rsid w:val="004855B6"/>
    <w:pPr>
      <w:spacing w:before="60" w:line="240" w:lineRule="atLeast"/>
    </w:pPr>
    <w:rPr>
      <w:sz w:val="20"/>
    </w:rPr>
  </w:style>
  <w:style w:type="paragraph" w:customStyle="1" w:styleId="TLPBoxTextnote">
    <w:name w:val="TLPBoxText(note"/>
    <w:aliases w:val="right)"/>
    <w:basedOn w:val="OPCParaBase"/>
    <w:rsid w:val="004855B6"/>
    <w:pPr>
      <w:pBdr>
        <w:top w:val="single" w:sz="6" w:space="5" w:color="auto"/>
        <w:left w:val="single" w:sz="6" w:space="5" w:color="auto"/>
        <w:bottom w:val="single" w:sz="6" w:space="5" w:color="auto"/>
        <w:right w:val="single" w:sz="6" w:space="5" w:color="auto"/>
      </w:pBdr>
      <w:spacing w:before="240" w:line="240" w:lineRule="atLeast"/>
      <w:ind w:left="1134"/>
      <w:jc w:val="right"/>
    </w:pPr>
    <w:rPr>
      <w:sz w:val="18"/>
    </w:rPr>
  </w:style>
  <w:style w:type="paragraph" w:customStyle="1" w:styleId="TLPNotebullet">
    <w:name w:val="TLPNote(bullet)"/>
    <w:basedOn w:val="OPCParaBase"/>
    <w:rsid w:val="004855B6"/>
    <w:pPr>
      <w:numPr>
        <w:numId w:val="1"/>
      </w:numPr>
      <w:tabs>
        <w:tab w:val="clear" w:pos="2517"/>
      </w:tabs>
      <w:spacing w:before="60" w:line="198" w:lineRule="exact"/>
      <w:ind w:left="2625"/>
    </w:pPr>
    <w:rPr>
      <w:sz w:val="18"/>
    </w:rPr>
  </w:style>
  <w:style w:type="paragraph" w:customStyle="1" w:styleId="TLPnoteright">
    <w:name w:val="TLPnote(right)"/>
    <w:aliases w:val="nr"/>
    <w:basedOn w:val="OPCParaBase"/>
    <w:rsid w:val="004855B6"/>
    <w:pPr>
      <w:spacing w:before="122" w:line="198" w:lineRule="exact"/>
      <w:ind w:left="1985" w:hanging="851"/>
      <w:jc w:val="right"/>
    </w:pPr>
    <w:rPr>
      <w:sz w:val="18"/>
    </w:rPr>
  </w:style>
  <w:style w:type="paragraph" w:customStyle="1" w:styleId="TLPTableBullet">
    <w:name w:val="TLPTableBullet"/>
    <w:aliases w:val="ttb"/>
    <w:basedOn w:val="OPCParaBase"/>
    <w:rsid w:val="004855B6"/>
    <w:pPr>
      <w:spacing w:line="240" w:lineRule="exact"/>
      <w:ind w:left="284" w:hanging="284"/>
    </w:pPr>
    <w:rPr>
      <w:sz w:val="20"/>
    </w:rPr>
  </w:style>
  <w:style w:type="paragraph" w:styleId="TOC1">
    <w:name w:val="toc 1"/>
    <w:basedOn w:val="OPCParaBase"/>
    <w:next w:val="Normal"/>
    <w:uiPriority w:val="39"/>
    <w:unhideWhenUsed/>
    <w:rsid w:val="004855B6"/>
    <w:pPr>
      <w:keepNext/>
      <w:keepLines/>
      <w:tabs>
        <w:tab w:val="right" w:pos="8998"/>
      </w:tabs>
      <w:spacing w:before="120" w:line="240" w:lineRule="auto"/>
      <w:ind w:left="1474" w:right="868" w:hanging="1474"/>
    </w:pPr>
    <w:rPr>
      <w:b/>
      <w:kern w:val="28"/>
      <w:sz w:val="28"/>
    </w:rPr>
  </w:style>
  <w:style w:type="paragraph" w:styleId="TOC2">
    <w:name w:val="toc 2"/>
    <w:basedOn w:val="OPCParaBase"/>
    <w:next w:val="Normal"/>
    <w:uiPriority w:val="39"/>
    <w:unhideWhenUsed/>
    <w:rsid w:val="004855B6"/>
    <w:pPr>
      <w:keepNext/>
      <w:keepLines/>
      <w:tabs>
        <w:tab w:val="right" w:pos="8998"/>
      </w:tabs>
      <w:spacing w:before="120" w:line="240" w:lineRule="auto"/>
      <w:ind w:left="1474" w:right="868" w:hanging="1474"/>
    </w:pPr>
    <w:rPr>
      <w:b/>
      <w:kern w:val="28"/>
      <w:sz w:val="24"/>
    </w:rPr>
  </w:style>
  <w:style w:type="paragraph" w:styleId="TOC3">
    <w:name w:val="toc 3"/>
    <w:basedOn w:val="OPCParaBase"/>
    <w:next w:val="Normal"/>
    <w:uiPriority w:val="39"/>
    <w:unhideWhenUsed/>
    <w:rsid w:val="004855B6"/>
    <w:pPr>
      <w:keepLines/>
      <w:tabs>
        <w:tab w:val="right" w:pos="8998"/>
      </w:tabs>
      <w:spacing w:before="80" w:line="240" w:lineRule="auto"/>
      <w:ind w:left="1604" w:right="868" w:hanging="1179"/>
    </w:pPr>
    <w:rPr>
      <w:b/>
      <w:kern w:val="28"/>
    </w:rPr>
  </w:style>
  <w:style w:type="paragraph" w:styleId="TOC4">
    <w:name w:val="toc 4"/>
    <w:basedOn w:val="OPCParaBase"/>
    <w:next w:val="Normal"/>
    <w:uiPriority w:val="39"/>
    <w:unhideWhenUsed/>
    <w:rsid w:val="004855B6"/>
    <w:pPr>
      <w:keepLines/>
      <w:tabs>
        <w:tab w:val="right" w:pos="8998"/>
      </w:tabs>
      <w:spacing w:before="80" w:line="240" w:lineRule="auto"/>
      <w:ind w:left="2183" w:right="868" w:hanging="1332"/>
    </w:pPr>
    <w:rPr>
      <w:b/>
      <w:kern w:val="28"/>
      <w:sz w:val="20"/>
    </w:rPr>
  </w:style>
  <w:style w:type="paragraph" w:styleId="TOC5">
    <w:name w:val="toc 5"/>
    <w:basedOn w:val="OPCParaBase"/>
    <w:next w:val="Normal"/>
    <w:uiPriority w:val="39"/>
    <w:unhideWhenUsed/>
    <w:rsid w:val="004855B6"/>
    <w:pPr>
      <w:keepLines/>
      <w:tabs>
        <w:tab w:val="right" w:pos="8998"/>
      </w:tabs>
      <w:spacing w:before="40" w:line="240" w:lineRule="auto"/>
      <w:ind w:left="2280" w:right="868" w:hanging="862"/>
    </w:pPr>
    <w:rPr>
      <w:kern w:val="28"/>
      <w:sz w:val="18"/>
    </w:rPr>
  </w:style>
  <w:style w:type="paragraph" w:styleId="TOC6">
    <w:name w:val="toc 6"/>
    <w:basedOn w:val="OPCParaBase"/>
    <w:next w:val="Normal"/>
    <w:uiPriority w:val="39"/>
    <w:unhideWhenUsed/>
    <w:rsid w:val="004855B6"/>
    <w:pPr>
      <w:keepLines/>
      <w:tabs>
        <w:tab w:val="right" w:pos="8998"/>
      </w:tabs>
      <w:spacing w:before="120" w:line="240" w:lineRule="auto"/>
      <w:ind w:left="1344" w:right="868" w:hanging="1344"/>
    </w:pPr>
    <w:rPr>
      <w:b/>
      <w:kern w:val="28"/>
      <w:sz w:val="24"/>
    </w:rPr>
  </w:style>
  <w:style w:type="paragraph" w:styleId="TOC7">
    <w:name w:val="toc 7"/>
    <w:basedOn w:val="OPCParaBase"/>
    <w:next w:val="Normal"/>
    <w:uiPriority w:val="39"/>
    <w:unhideWhenUsed/>
    <w:rsid w:val="004855B6"/>
    <w:pPr>
      <w:keepLines/>
      <w:tabs>
        <w:tab w:val="right" w:pos="8998"/>
      </w:tabs>
      <w:spacing w:before="120" w:line="240" w:lineRule="auto"/>
      <w:ind w:left="1253" w:right="868" w:hanging="828"/>
    </w:pPr>
    <w:rPr>
      <w:kern w:val="28"/>
      <w:sz w:val="24"/>
    </w:rPr>
  </w:style>
  <w:style w:type="paragraph" w:styleId="TOC8">
    <w:name w:val="toc 8"/>
    <w:basedOn w:val="OPCParaBase"/>
    <w:next w:val="Normal"/>
    <w:uiPriority w:val="39"/>
    <w:unhideWhenUsed/>
    <w:rsid w:val="004855B6"/>
    <w:pPr>
      <w:keepLines/>
      <w:tabs>
        <w:tab w:val="right" w:pos="8998"/>
      </w:tabs>
      <w:spacing w:before="80" w:line="240" w:lineRule="auto"/>
      <w:ind w:left="1900" w:right="868" w:hanging="1049"/>
    </w:pPr>
    <w:rPr>
      <w:kern w:val="28"/>
      <w:sz w:val="20"/>
    </w:rPr>
  </w:style>
  <w:style w:type="paragraph" w:styleId="TOC9">
    <w:name w:val="toc 9"/>
    <w:basedOn w:val="OPCParaBase"/>
    <w:next w:val="Normal"/>
    <w:uiPriority w:val="39"/>
    <w:unhideWhenUsed/>
    <w:rsid w:val="004855B6"/>
    <w:pPr>
      <w:keepLines/>
      <w:tabs>
        <w:tab w:val="right" w:pos="8998"/>
      </w:tabs>
      <w:spacing w:before="80" w:line="240" w:lineRule="auto"/>
      <w:ind w:left="851" w:right="868"/>
    </w:pPr>
    <w:rPr>
      <w:i/>
      <w:kern w:val="28"/>
      <w:sz w:val="20"/>
    </w:rPr>
  </w:style>
  <w:style w:type="paragraph" w:customStyle="1" w:styleId="TofSectsGroupHeading">
    <w:name w:val="TofSects(GroupHeading)"/>
    <w:basedOn w:val="OPCParaBase"/>
    <w:next w:val="TofSectsSection"/>
    <w:rsid w:val="004855B6"/>
    <w:pPr>
      <w:keepLines/>
      <w:spacing w:before="240" w:after="120" w:line="240" w:lineRule="auto"/>
      <w:ind w:left="794"/>
    </w:pPr>
    <w:rPr>
      <w:b/>
      <w:kern w:val="28"/>
      <w:sz w:val="20"/>
    </w:rPr>
  </w:style>
  <w:style w:type="paragraph" w:customStyle="1" w:styleId="TofSectsHeading">
    <w:name w:val="TofSects(Heading)"/>
    <w:basedOn w:val="OPCParaBase"/>
    <w:rsid w:val="004855B6"/>
    <w:pPr>
      <w:spacing w:before="240" w:after="120" w:line="240" w:lineRule="auto"/>
    </w:pPr>
    <w:rPr>
      <w:b/>
      <w:sz w:val="24"/>
    </w:rPr>
  </w:style>
  <w:style w:type="paragraph" w:customStyle="1" w:styleId="TofSectsSection">
    <w:name w:val="TofSects(Section)"/>
    <w:basedOn w:val="OPCParaBase"/>
    <w:rsid w:val="004855B6"/>
    <w:pPr>
      <w:keepLines/>
      <w:spacing w:before="40" w:line="240" w:lineRule="auto"/>
      <w:ind w:left="1588" w:hanging="794"/>
    </w:pPr>
    <w:rPr>
      <w:kern w:val="28"/>
      <w:sz w:val="18"/>
    </w:rPr>
  </w:style>
  <w:style w:type="paragraph" w:customStyle="1" w:styleId="TofSectsSubdiv">
    <w:name w:val="TofSects(Subdiv)"/>
    <w:basedOn w:val="OPCParaBase"/>
    <w:rsid w:val="004855B6"/>
    <w:pPr>
      <w:keepLines/>
      <w:spacing w:before="80" w:line="240" w:lineRule="auto"/>
      <w:ind w:left="1588" w:hanging="794"/>
    </w:pPr>
    <w:rPr>
      <w:kern w:val="28"/>
    </w:rPr>
  </w:style>
  <w:style w:type="paragraph" w:customStyle="1" w:styleId="WRStyle">
    <w:name w:val="WR Style"/>
    <w:aliases w:val="WR"/>
    <w:basedOn w:val="OPCParaBase"/>
    <w:rsid w:val="004855B6"/>
    <w:pPr>
      <w:spacing w:before="240" w:line="240" w:lineRule="auto"/>
      <w:ind w:left="284" w:hanging="284"/>
    </w:pPr>
    <w:rPr>
      <w:b/>
      <w:i/>
      <w:kern w:val="28"/>
      <w:sz w:val="24"/>
    </w:rPr>
  </w:style>
  <w:style w:type="paragraph" w:customStyle="1" w:styleId="Body">
    <w:name w:val="Body"/>
    <w:aliases w:val="b"/>
    <w:basedOn w:val="OPCParaBase"/>
    <w:rsid w:val="004855B6"/>
    <w:pPr>
      <w:spacing w:before="240" w:line="240" w:lineRule="auto"/>
    </w:pPr>
    <w:rPr>
      <w:sz w:val="24"/>
    </w:rPr>
  </w:style>
  <w:style w:type="paragraph" w:customStyle="1" w:styleId="BodyNum">
    <w:name w:val="BodyNum"/>
    <w:aliases w:val="b1"/>
    <w:basedOn w:val="OPCParaBase"/>
    <w:rsid w:val="004855B6"/>
    <w:pPr>
      <w:numPr>
        <w:numId w:val="2"/>
      </w:numPr>
      <w:spacing w:before="240" w:line="240" w:lineRule="auto"/>
    </w:pPr>
    <w:rPr>
      <w:sz w:val="24"/>
    </w:rPr>
  </w:style>
  <w:style w:type="paragraph" w:customStyle="1" w:styleId="BodyPara">
    <w:name w:val="BodyPara"/>
    <w:aliases w:val="ba"/>
    <w:basedOn w:val="OPCParaBase"/>
    <w:rsid w:val="004855B6"/>
    <w:pPr>
      <w:numPr>
        <w:ilvl w:val="1"/>
        <w:numId w:val="2"/>
      </w:numPr>
      <w:spacing w:before="240" w:line="240" w:lineRule="auto"/>
    </w:pPr>
    <w:rPr>
      <w:sz w:val="24"/>
    </w:rPr>
  </w:style>
  <w:style w:type="paragraph" w:customStyle="1" w:styleId="BodyParaBullet">
    <w:name w:val="BodyParaBullet"/>
    <w:aliases w:val="bpb"/>
    <w:basedOn w:val="OPCParaBase"/>
    <w:rsid w:val="004855B6"/>
    <w:pPr>
      <w:numPr>
        <w:ilvl w:val="2"/>
        <w:numId w:val="2"/>
      </w:numPr>
      <w:tabs>
        <w:tab w:val="left" w:pos="2160"/>
      </w:tabs>
      <w:spacing w:before="240" w:line="240" w:lineRule="auto"/>
    </w:pPr>
    <w:rPr>
      <w:sz w:val="24"/>
    </w:rPr>
  </w:style>
  <w:style w:type="paragraph" w:customStyle="1" w:styleId="BodySubPara">
    <w:name w:val="BodySubPara"/>
    <w:aliases w:val="bi,Subbodypara"/>
    <w:basedOn w:val="OPCParaBase"/>
    <w:rsid w:val="004855B6"/>
    <w:pPr>
      <w:numPr>
        <w:ilvl w:val="3"/>
        <w:numId w:val="2"/>
      </w:numPr>
      <w:spacing w:before="240" w:line="240" w:lineRule="auto"/>
    </w:pPr>
    <w:rPr>
      <w:sz w:val="24"/>
    </w:rPr>
  </w:style>
  <w:style w:type="numbering" w:customStyle="1" w:styleId="OPCBodyList">
    <w:name w:val="OPCBodyList"/>
    <w:uiPriority w:val="99"/>
    <w:rsid w:val="004855B6"/>
    <w:pPr>
      <w:numPr>
        <w:numId w:val="2"/>
      </w:numPr>
    </w:pPr>
  </w:style>
  <w:style w:type="paragraph" w:customStyle="1" w:styleId="Head1">
    <w:name w:val="Head 1"/>
    <w:aliases w:val="1"/>
    <w:basedOn w:val="OPCParaBase"/>
    <w:next w:val="BodyNum"/>
    <w:rsid w:val="004855B6"/>
    <w:pPr>
      <w:keepNext/>
      <w:spacing w:before="240" w:after="60" w:line="240" w:lineRule="auto"/>
      <w:outlineLvl w:val="0"/>
    </w:pPr>
    <w:rPr>
      <w:rFonts w:ascii="Arial" w:hAnsi="Arial"/>
      <w:b/>
      <w:kern w:val="28"/>
      <w:sz w:val="36"/>
    </w:rPr>
  </w:style>
  <w:style w:type="paragraph" w:customStyle="1" w:styleId="Head2">
    <w:name w:val="Head 2"/>
    <w:aliases w:val="2"/>
    <w:basedOn w:val="OPCParaBase"/>
    <w:next w:val="BodyNum"/>
    <w:rsid w:val="004855B6"/>
    <w:pPr>
      <w:keepNext/>
      <w:spacing w:before="240" w:after="60" w:line="240" w:lineRule="auto"/>
      <w:outlineLvl w:val="1"/>
    </w:pPr>
    <w:rPr>
      <w:rFonts w:ascii="Arial" w:hAnsi="Arial"/>
      <w:b/>
      <w:kern w:val="28"/>
      <w:sz w:val="28"/>
    </w:rPr>
  </w:style>
  <w:style w:type="paragraph" w:customStyle="1" w:styleId="Head3">
    <w:name w:val="Head 3"/>
    <w:aliases w:val="3"/>
    <w:basedOn w:val="OPCParaBase"/>
    <w:next w:val="BodyNum"/>
    <w:rsid w:val="004855B6"/>
    <w:pPr>
      <w:keepNext/>
      <w:spacing w:before="240" w:after="60" w:line="240" w:lineRule="auto"/>
      <w:outlineLvl w:val="2"/>
    </w:pPr>
    <w:rPr>
      <w:rFonts w:ascii="Arial" w:hAnsi="Arial"/>
      <w:b/>
      <w:i/>
      <w:kern w:val="28"/>
      <w:sz w:val="26"/>
    </w:rPr>
  </w:style>
  <w:style w:type="paragraph" w:customStyle="1" w:styleId="Head4">
    <w:name w:val="Head 4"/>
    <w:aliases w:val="4"/>
    <w:basedOn w:val="OPCParaBase"/>
    <w:next w:val="BodyNum"/>
    <w:rsid w:val="004855B6"/>
    <w:pPr>
      <w:keepNext/>
      <w:spacing w:before="240" w:after="60" w:line="240" w:lineRule="auto"/>
      <w:outlineLvl w:val="3"/>
    </w:pPr>
    <w:rPr>
      <w:rFonts w:ascii="Arial" w:hAnsi="Arial"/>
      <w:b/>
      <w:kern w:val="28"/>
    </w:rPr>
  </w:style>
  <w:style w:type="paragraph" w:customStyle="1" w:styleId="Head5">
    <w:name w:val="Head 5"/>
    <w:aliases w:val="5"/>
    <w:basedOn w:val="OPCParaBase"/>
    <w:next w:val="BodyNum"/>
    <w:rsid w:val="004855B6"/>
    <w:pPr>
      <w:keepNext/>
      <w:spacing w:before="240" w:after="60" w:line="240" w:lineRule="auto"/>
      <w:outlineLvl w:val="4"/>
    </w:pPr>
    <w:rPr>
      <w:rFonts w:ascii="Arial" w:hAnsi="Arial"/>
      <w:b/>
      <w:i/>
      <w:kern w:val="28"/>
    </w:rPr>
  </w:style>
  <w:style w:type="paragraph" w:customStyle="1" w:styleId="noteToPara">
    <w:name w:val="noteToPara"/>
    <w:aliases w:val="ntp"/>
    <w:basedOn w:val="OPCParaBase"/>
    <w:rsid w:val="004855B6"/>
    <w:pPr>
      <w:spacing w:before="122" w:line="198" w:lineRule="exact"/>
      <w:ind w:left="2353" w:hanging="709"/>
    </w:pPr>
    <w:rPr>
      <w:sz w:val="18"/>
    </w:rPr>
  </w:style>
  <w:style w:type="paragraph" w:styleId="Footer">
    <w:name w:val="footer"/>
    <w:link w:val="FooterChar"/>
    <w:rsid w:val="004855B6"/>
    <w:pPr>
      <w:tabs>
        <w:tab w:val="center" w:pos="4153"/>
        <w:tab w:val="center" w:pos="4320"/>
        <w:tab w:val="right" w:pos="8306"/>
        <w:tab w:val="right" w:pos="8640"/>
      </w:tabs>
    </w:pPr>
    <w:rPr>
      <w:rFonts w:eastAsia="Times New Roman" w:cs="Times New Roman"/>
      <w:sz w:val="24"/>
      <w:szCs w:val="24"/>
      <w:lang w:eastAsia="en-AU"/>
    </w:rPr>
  </w:style>
  <w:style w:type="character" w:customStyle="1" w:styleId="FooterChar">
    <w:name w:val="Footer Char"/>
    <w:basedOn w:val="DefaultParagraphFont"/>
    <w:link w:val="Footer"/>
    <w:rsid w:val="004855B6"/>
    <w:rPr>
      <w:rFonts w:eastAsia="Times New Roman" w:cs="Times New Roman"/>
      <w:sz w:val="24"/>
      <w:szCs w:val="24"/>
      <w:lang w:eastAsia="en-AU"/>
    </w:rPr>
  </w:style>
  <w:style w:type="character" w:styleId="PageNumber">
    <w:name w:val="page number"/>
    <w:basedOn w:val="DefaultParagraphFont"/>
    <w:rsid w:val="004855B6"/>
  </w:style>
  <w:style w:type="paragraph" w:styleId="BalloonText">
    <w:name w:val="Balloon Text"/>
    <w:basedOn w:val="Normal"/>
    <w:link w:val="BalloonTextChar"/>
    <w:uiPriority w:val="99"/>
    <w:semiHidden/>
    <w:unhideWhenUsed/>
    <w:rsid w:val="004855B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55B6"/>
    <w:rPr>
      <w:rFonts w:ascii="Tahoma" w:hAnsi="Tahoma" w:cs="Tahoma"/>
      <w:sz w:val="16"/>
      <w:szCs w:val="16"/>
    </w:rPr>
  </w:style>
  <w:style w:type="paragraph" w:customStyle="1" w:styleId="MessShortTitle">
    <w:name w:val="MessShortTitle"/>
    <w:basedOn w:val="Head2"/>
    <w:rsid w:val="004855B6"/>
  </w:style>
  <w:style w:type="paragraph" w:customStyle="1" w:styleId="notetext">
    <w:name w:val="note(text)"/>
    <w:aliases w:val="n"/>
    <w:basedOn w:val="OPCParaBase"/>
    <w:rsid w:val="004855B6"/>
    <w:pPr>
      <w:spacing w:before="122" w:line="240" w:lineRule="auto"/>
      <w:ind w:left="1985" w:hanging="851"/>
    </w:pPr>
    <w:rPr>
      <w:sz w:val="18"/>
    </w:rPr>
  </w:style>
  <w:style w:type="paragraph" w:customStyle="1" w:styleId="FreeForm">
    <w:name w:val="FreeForm"/>
    <w:rsid w:val="000F3859"/>
    <w:rPr>
      <w:rFonts w:ascii="Arial" w:hAnsi="Arial"/>
      <w:sz w:val="22"/>
    </w:rPr>
  </w:style>
  <w:style w:type="paragraph" w:customStyle="1" w:styleId="SOText">
    <w:name w:val="SO Text"/>
    <w:aliases w:val="sot"/>
    <w:link w:val="SOTextChar"/>
    <w:rsid w:val="004855B6"/>
    <w:pPr>
      <w:pBdr>
        <w:top w:val="single" w:sz="6" w:space="5" w:color="auto"/>
        <w:left w:val="single" w:sz="6" w:space="5" w:color="auto"/>
        <w:bottom w:val="single" w:sz="6" w:space="5" w:color="auto"/>
        <w:right w:val="single" w:sz="6" w:space="5" w:color="auto"/>
      </w:pBdr>
      <w:spacing w:before="240"/>
      <w:ind w:left="1134"/>
    </w:pPr>
    <w:rPr>
      <w:sz w:val="22"/>
    </w:rPr>
  </w:style>
  <w:style w:type="character" w:customStyle="1" w:styleId="SOTextChar">
    <w:name w:val="SO Text Char"/>
    <w:aliases w:val="sot Char"/>
    <w:basedOn w:val="DefaultParagraphFont"/>
    <w:link w:val="SOText"/>
    <w:rsid w:val="004855B6"/>
    <w:rPr>
      <w:sz w:val="22"/>
    </w:rPr>
  </w:style>
  <w:style w:type="paragraph" w:customStyle="1" w:styleId="SOTextNote">
    <w:name w:val="SO TextNote"/>
    <w:aliases w:val="sont"/>
    <w:basedOn w:val="SOText"/>
    <w:qFormat/>
    <w:rsid w:val="004855B6"/>
    <w:pPr>
      <w:spacing w:before="122" w:line="198" w:lineRule="exact"/>
      <w:ind w:left="1843" w:hanging="709"/>
    </w:pPr>
    <w:rPr>
      <w:sz w:val="18"/>
    </w:rPr>
  </w:style>
  <w:style w:type="paragraph" w:customStyle="1" w:styleId="SOPara">
    <w:name w:val="SO Para"/>
    <w:aliases w:val="soa"/>
    <w:basedOn w:val="SOText"/>
    <w:link w:val="SOParaChar"/>
    <w:qFormat/>
    <w:rsid w:val="004855B6"/>
    <w:pPr>
      <w:tabs>
        <w:tab w:val="right" w:pos="1786"/>
      </w:tabs>
      <w:spacing w:before="40"/>
      <w:ind w:left="2070" w:hanging="936"/>
    </w:pPr>
  </w:style>
  <w:style w:type="character" w:customStyle="1" w:styleId="SOParaChar">
    <w:name w:val="SO Para Char"/>
    <w:aliases w:val="soa Char"/>
    <w:basedOn w:val="DefaultParagraphFont"/>
    <w:link w:val="SOPara"/>
    <w:rsid w:val="004855B6"/>
    <w:rPr>
      <w:sz w:val="22"/>
    </w:rPr>
  </w:style>
  <w:style w:type="paragraph" w:customStyle="1" w:styleId="FileName">
    <w:name w:val="FileName"/>
    <w:basedOn w:val="Normal"/>
    <w:rsid w:val="004855B6"/>
  </w:style>
  <w:style w:type="paragraph" w:customStyle="1" w:styleId="TableHeading">
    <w:name w:val="TableHeading"/>
    <w:aliases w:val="th"/>
    <w:basedOn w:val="OPCParaBase"/>
    <w:next w:val="Tabletext"/>
    <w:rsid w:val="004855B6"/>
    <w:pPr>
      <w:keepNext/>
      <w:spacing w:before="60" w:line="240" w:lineRule="atLeast"/>
    </w:pPr>
    <w:rPr>
      <w:b/>
      <w:sz w:val="20"/>
    </w:rPr>
  </w:style>
  <w:style w:type="paragraph" w:customStyle="1" w:styleId="SOHeadBold">
    <w:name w:val="SO HeadBold"/>
    <w:aliases w:val="sohb"/>
    <w:basedOn w:val="SOText"/>
    <w:next w:val="SOText"/>
    <w:link w:val="SOHeadBoldChar"/>
    <w:qFormat/>
    <w:rsid w:val="004855B6"/>
    <w:rPr>
      <w:b/>
    </w:rPr>
  </w:style>
  <w:style w:type="character" w:customStyle="1" w:styleId="SOHeadBoldChar">
    <w:name w:val="SO HeadBold Char"/>
    <w:aliases w:val="sohb Char"/>
    <w:basedOn w:val="DefaultParagraphFont"/>
    <w:link w:val="SOHeadBold"/>
    <w:rsid w:val="004855B6"/>
    <w:rPr>
      <w:b/>
      <w:sz w:val="22"/>
    </w:rPr>
  </w:style>
  <w:style w:type="paragraph" w:customStyle="1" w:styleId="SOHeadItalic">
    <w:name w:val="SO HeadItalic"/>
    <w:aliases w:val="sohi"/>
    <w:basedOn w:val="SOText"/>
    <w:next w:val="SOText"/>
    <w:link w:val="SOHeadItalicChar"/>
    <w:qFormat/>
    <w:rsid w:val="004855B6"/>
    <w:rPr>
      <w:i/>
    </w:rPr>
  </w:style>
  <w:style w:type="character" w:customStyle="1" w:styleId="SOHeadItalicChar">
    <w:name w:val="SO HeadItalic Char"/>
    <w:aliases w:val="sohi Char"/>
    <w:basedOn w:val="DefaultParagraphFont"/>
    <w:link w:val="SOHeadItalic"/>
    <w:rsid w:val="004855B6"/>
    <w:rPr>
      <w:i/>
      <w:sz w:val="22"/>
    </w:rPr>
  </w:style>
  <w:style w:type="paragraph" w:customStyle="1" w:styleId="SOBullet">
    <w:name w:val="SO Bullet"/>
    <w:aliases w:val="sotb"/>
    <w:basedOn w:val="SOText"/>
    <w:link w:val="SOBulletChar"/>
    <w:qFormat/>
    <w:rsid w:val="004855B6"/>
    <w:pPr>
      <w:ind w:left="1559" w:hanging="425"/>
    </w:pPr>
  </w:style>
  <w:style w:type="character" w:customStyle="1" w:styleId="SOBulletChar">
    <w:name w:val="SO Bullet Char"/>
    <w:aliases w:val="sotb Char"/>
    <w:basedOn w:val="DefaultParagraphFont"/>
    <w:link w:val="SOBullet"/>
    <w:rsid w:val="004855B6"/>
    <w:rPr>
      <w:sz w:val="22"/>
    </w:rPr>
  </w:style>
  <w:style w:type="paragraph" w:customStyle="1" w:styleId="SOBulletNote">
    <w:name w:val="SO BulletNote"/>
    <w:aliases w:val="sonb"/>
    <w:basedOn w:val="SOTextNote"/>
    <w:link w:val="SOBulletNoteChar"/>
    <w:qFormat/>
    <w:rsid w:val="004855B6"/>
    <w:pPr>
      <w:tabs>
        <w:tab w:val="left" w:pos="1560"/>
      </w:tabs>
      <w:ind w:left="2268" w:hanging="1134"/>
    </w:pPr>
  </w:style>
  <w:style w:type="character" w:customStyle="1" w:styleId="SOBulletNoteChar">
    <w:name w:val="SO BulletNote Char"/>
    <w:aliases w:val="sonb Char"/>
    <w:basedOn w:val="DefaultParagraphFont"/>
    <w:link w:val="SOBulletNote"/>
    <w:rsid w:val="004855B6"/>
    <w:rPr>
      <w:sz w:val="18"/>
    </w:rPr>
  </w:style>
  <w:style w:type="character" w:customStyle="1" w:styleId="Heading1Char">
    <w:name w:val="Heading 1 Char"/>
    <w:basedOn w:val="DefaultParagraphFont"/>
    <w:link w:val="Heading1"/>
    <w:rsid w:val="00727ED5"/>
    <w:rPr>
      <w:rFonts w:ascii="Helvetica" w:eastAsia="Times New Roman" w:hAnsi="Helvetica" w:cs="Times New Roman"/>
      <w:b/>
      <w:sz w:val="40"/>
      <w:szCs w:val="32"/>
      <w:lang w:val="x-none" w:eastAsia="en-AU"/>
    </w:rPr>
  </w:style>
  <w:style w:type="character" w:customStyle="1" w:styleId="Heading2Char">
    <w:name w:val="Heading 2 Char"/>
    <w:basedOn w:val="DefaultParagraphFont"/>
    <w:link w:val="Heading2"/>
    <w:rsid w:val="00727ED5"/>
    <w:rPr>
      <w:rFonts w:ascii="Helvetica" w:eastAsia="Times New Roman" w:hAnsi="Helvetica" w:cs="Times New Roman"/>
      <w:b/>
      <w:sz w:val="32"/>
      <w:szCs w:val="30"/>
      <w:lang w:val="x-none" w:eastAsia="en-AU"/>
    </w:rPr>
  </w:style>
  <w:style w:type="character" w:customStyle="1" w:styleId="Heading3Char">
    <w:name w:val="Heading 3 Char"/>
    <w:basedOn w:val="DefaultParagraphFont"/>
    <w:link w:val="Heading3"/>
    <w:rsid w:val="00727ED5"/>
    <w:rPr>
      <w:rFonts w:ascii="Optima" w:eastAsia="Times New Roman" w:hAnsi="Optima" w:cs="Times New Roman"/>
      <w:b/>
      <w:sz w:val="28"/>
      <w:lang w:val="x-none" w:eastAsia="en-AU"/>
    </w:rPr>
  </w:style>
  <w:style w:type="character" w:customStyle="1" w:styleId="Heading4Char">
    <w:name w:val="Heading 4 Char"/>
    <w:basedOn w:val="DefaultParagraphFont"/>
    <w:link w:val="Heading4"/>
    <w:rsid w:val="00727ED5"/>
    <w:rPr>
      <w:rFonts w:ascii="Helvetica" w:eastAsia="Times New Roman" w:hAnsi="Helvetica" w:cs="Times New Roman"/>
      <w:b/>
      <w:i/>
      <w:sz w:val="24"/>
      <w:szCs w:val="24"/>
      <w:lang w:val="x-none" w:eastAsia="en-AU"/>
    </w:rPr>
  </w:style>
  <w:style w:type="character" w:customStyle="1" w:styleId="Heading5Char">
    <w:name w:val="Heading 5 Char"/>
    <w:basedOn w:val="DefaultParagraphFont"/>
    <w:link w:val="Heading5"/>
    <w:uiPriority w:val="9"/>
    <w:rsid w:val="00727ED5"/>
    <w:rPr>
      <w:rFonts w:eastAsia="Times New Roman" w:cs="Times New Roman"/>
      <w:b/>
      <w:bCs/>
      <w:kern w:val="28"/>
      <w:sz w:val="24"/>
      <w:szCs w:val="24"/>
      <w:lang w:val="x-none" w:eastAsia="en-AU"/>
    </w:rPr>
  </w:style>
  <w:style w:type="character" w:customStyle="1" w:styleId="Heading6Char">
    <w:name w:val="Heading 6 Char"/>
    <w:basedOn w:val="DefaultParagraphFont"/>
    <w:link w:val="Heading6"/>
    <w:uiPriority w:val="9"/>
    <w:semiHidden/>
    <w:rsid w:val="00727ED5"/>
    <w:rPr>
      <w:rFonts w:ascii="Cambria" w:eastAsia="Times New Roman" w:hAnsi="Cambria" w:cs="Times New Roman"/>
      <w:i/>
      <w:iCs/>
      <w:color w:val="243F60"/>
      <w:sz w:val="22"/>
      <w:szCs w:val="22"/>
      <w:lang w:val="x-none" w:eastAsia="x-none"/>
    </w:rPr>
  </w:style>
  <w:style w:type="character" w:customStyle="1" w:styleId="Heading7Char">
    <w:name w:val="Heading 7 Char"/>
    <w:basedOn w:val="DefaultParagraphFont"/>
    <w:link w:val="Heading7"/>
    <w:uiPriority w:val="9"/>
    <w:semiHidden/>
    <w:rsid w:val="00727ED5"/>
    <w:rPr>
      <w:rFonts w:ascii="Cambria" w:eastAsia="Times New Roman" w:hAnsi="Cambria" w:cs="Times New Roman"/>
      <w:i/>
      <w:iCs/>
      <w:color w:val="404040"/>
      <w:sz w:val="22"/>
      <w:szCs w:val="22"/>
      <w:lang w:val="x-none" w:eastAsia="x-none"/>
    </w:rPr>
  </w:style>
  <w:style w:type="character" w:customStyle="1" w:styleId="Heading8Char">
    <w:name w:val="Heading 8 Char"/>
    <w:basedOn w:val="DefaultParagraphFont"/>
    <w:link w:val="Heading8"/>
    <w:uiPriority w:val="9"/>
    <w:semiHidden/>
    <w:rsid w:val="00727ED5"/>
    <w:rPr>
      <w:rFonts w:ascii="Cambria" w:eastAsia="Times New Roman" w:hAnsi="Cambria" w:cs="Times New Roman"/>
      <w:color w:val="404040"/>
      <w:lang w:val="x-none" w:eastAsia="x-none"/>
    </w:rPr>
  </w:style>
  <w:style w:type="character" w:customStyle="1" w:styleId="Heading9Char">
    <w:name w:val="Heading 9 Char"/>
    <w:basedOn w:val="DefaultParagraphFont"/>
    <w:link w:val="Heading9"/>
    <w:uiPriority w:val="9"/>
    <w:semiHidden/>
    <w:rsid w:val="00727ED5"/>
    <w:rPr>
      <w:rFonts w:ascii="Cambria" w:eastAsia="Times New Roman" w:hAnsi="Cambria" w:cs="Times New Roman"/>
      <w:i/>
      <w:iCs/>
      <w:color w:val="404040"/>
      <w:lang w:val="x-none" w:eastAsia="x-none"/>
    </w:rPr>
  </w:style>
  <w:style w:type="paragraph" w:styleId="BodyTextIndent">
    <w:name w:val="Body Text Indent"/>
    <w:basedOn w:val="Normal"/>
    <w:link w:val="BodyTextIndentChar"/>
    <w:uiPriority w:val="99"/>
    <w:semiHidden/>
    <w:unhideWhenUsed/>
    <w:rsid w:val="00727ED5"/>
    <w:pPr>
      <w:spacing w:after="120"/>
      <w:ind w:left="283"/>
    </w:pPr>
    <w:rPr>
      <w:rFonts w:eastAsia="Calibri" w:cs="Times New Roman"/>
      <w:lang w:val="x-none" w:eastAsia="x-none"/>
    </w:rPr>
  </w:style>
  <w:style w:type="character" w:customStyle="1" w:styleId="BodyTextIndentChar">
    <w:name w:val="Body Text Indent Char"/>
    <w:basedOn w:val="DefaultParagraphFont"/>
    <w:link w:val="BodyTextIndent"/>
    <w:uiPriority w:val="99"/>
    <w:semiHidden/>
    <w:rsid w:val="00727ED5"/>
    <w:rPr>
      <w:rFonts w:eastAsia="Calibri" w:cs="Times New Roman"/>
      <w:sz w:val="22"/>
      <w:lang w:val="x-none" w:eastAsia="x-none"/>
    </w:rPr>
  </w:style>
  <w:style w:type="paragraph" w:styleId="BodyTextFirstIndent2">
    <w:name w:val="Body Text First Indent 2"/>
    <w:basedOn w:val="BodyTextIndent"/>
    <w:link w:val="BodyTextFirstIndent2Char"/>
    <w:uiPriority w:val="99"/>
    <w:unhideWhenUsed/>
    <w:rsid w:val="00727ED5"/>
    <w:pPr>
      <w:spacing w:after="0"/>
      <w:ind w:left="360" w:firstLine="360"/>
    </w:pPr>
  </w:style>
  <w:style w:type="character" w:customStyle="1" w:styleId="BodyTextFirstIndent2Char">
    <w:name w:val="Body Text First Indent 2 Char"/>
    <w:basedOn w:val="BodyTextIndentChar"/>
    <w:link w:val="BodyTextFirstIndent2"/>
    <w:uiPriority w:val="99"/>
    <w:rsid w:val="00727ED5"/>
    <w:rPr>
      <w:rFonts w:eastAsia="Calibri" w:cs="Times New Roman"/>
      <w:sz w:val="22"/>
      <w:lang w:val="x-none" w:eastAsia="x-none"/>
    </w:rPr>
  </w:style>
  <w:style w:type="paragraph" w:styleId="FootnoteText">
    <w:name w:val="footnote text"/>
    <w:basedOn w:val="Body"/>
    <w:link w:val="FootnoteTextChar"/>
    <w:uiPriority w:val="99"/>
    <w:semiHidden/>
    <w:rsid w:val="00727ED5"/>
    <w:pPr>
      <w:overflowPunct w:val="0"/>
      <w:autoSpaceDE w:val="0"/>
      <w:autoSpaceDN w:val="0"/>
      <w:adjustRightInd w:val="0"/>
      <w:spacing w:before="0" w:line="240" w:lineRule="atLeast"/>
      <w:ind w:left="284" w:hanging="284"/>
      <w:textAlignment w:val="baseline"/>
    </w:pPr>
    <w:rPr>
      <w:sz w:val="20"/>
      <w:lang w:val="x-none"/>
    </w:rPr>
  </w:style>
  <w:style w:type="character" w:customStyle="1" w:styleId="FootnoteTextChar">
    <w:name w:val="Footnote Text Char"/>
    <w:basedOn w:val="DefaultParagraphFont"/>
    <w:link w:val="FootnoteText"/>
    <w:uiPriority w:val="99"/>
    <w:semiHidden/>
    <w:rsid w:val="00727ED5"/>
    <w:rPr>
      <w:rFonts w:eastAsia="Times New Roman" w:cs="Times New Roman"/>
      <w:lang w:val="x-none" w:eastAsia="en-AU"/>
    </w:rPr>
  </w:style>
  <w:style w:type="character" w:styleId="FootnoteReference">
    <w:name w:val="footnote reference"/>
    <w:uiPriority w:val="99"/>
    <w:semiHidden/>
    <w:rsid w:val="00727ED5"/>
    <w:rPr>
      <w:vertAlign w:val="superscript"/>
    </w:rPr>
  </w:style>
  <w:style w:type="character" w:styleId="Hyperlink">
    <w:name w:val="Hyperlink"/>
    <w:uiPriority w:val="99"/>
    <w:rsid w:val="00727ED5"/>
    <w:rPr>
      <w:color w:val="0000FF"/>
      <w:u w:val="none"/>
    </w:rPr>
  </w:style>
  <w:style w:type="table" w:styleId="TableGrid">
    <w:name w:val="Table Grid"/>
    <w:basedOn w:val="TableNormal"/>
    <w:uiPriority w:val="59"/>
    <w:rsid w:val="00727ED5"/>
    <w:rPr>
      <w:rFonts w:eastAsia="Times New Roman" w:cs="Times New Roman"/>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27ED5"/>
    <w:pPr>
      <w:overflowPunct w:val="0"/>
      <w:autoSpaceDE w:val="0"/>
      <w:autoSpaceDN w:val="0"/>
      <w:adjustRightInd w:val="0"/>
      <w:spacing w:line="240" w:lineRule="auto"/>
      <w:ind w:left="720"/>
    </w:pPr>
    <w:rPr>
      <w:rFonts w:eastAsia="Times New Roman" w:cs="Times New Roman"/>
      <w:sz w:val="24"/>
      <w:lang w:eastAsia="en-AU"/>
    </w:rPr>
  </w:style>
  <w:style w:type="paragraph" w:styleId="ListBullet">
    <w:name w:val="List Bullet"/>
    <w:basedOn w:val="Normal"/>
    <w:uiPriority w:val="99"/>
    <w:unhideWhenUsed/>
    <w:rsid w:val="00727ED5"/>
    <w:pPr>
      <w:tabs>
        <w:tab w:val="num" w:pos="360"/>
      </w:tabs>
      <w:overflowPunct w:val="0"/>
      <w:autoSpaceDE w:val="0"/>
      <w:autoSpaceDN w:val="0"/>
      <w:adjustRightInd w:val="0"/>
      <w:spacing w:line="240" w:lineRule="auto"/>
      <w:ind w:left="360" w:hanging="360"/>
      <w:contextualSpacing/>
      <w:textAlignment w:val="baseline"/>
    </w:pPr>
    <w:rPr>
      <w:rFonts w:eastAsia="Times New Roman" w:cs="Times New Roman"/>
      <w:sz w:val="24"/>
      <w:lang w:eastAsia="en-AU"/>
    </w:rPr>
  </w:style>
  <w:style w:type="character" w:styleId="FollowedHyperlink">
    <w:name w:val="FollowedHyperlink"/>
    <w:uiPriority w:val="99"/>
    <w:semiHidden/>
    <w:unhideWhenUsed/>
    <w:rsid w:val="00727ED5"/>
    <w:rPr>
      <w:color w:val="800080"/>
      <w:u w:val="single"/>
    </w:rPr>
  </w:style>
  <w:style w:type="paragraph" w:styleId="NormalWeb">
    <w:name w:val="Normal (Web)"/>
    <w:basedOn w:val="Normal"/>
    <w:uiPriority w:val="99"/>
    <w:semiHidden/>
    <w:unhideWhenUsed/>
    <w:rsid w:val="00727ED5"/>
    <w:rPr>
      <w:rFonts w:eastAsia="Calibri" w:cs="Times New Roman"/>
      <w:sz w:val="24"/>
      <w:szCs w:val="24"/>
    </w:rPr>
  </w:style>
  <w:style w:type="paragraph" w:styleId="Title">
    <w:name w:val="Title"/>
    <w:basedOn w:val="Normal"/>
    <w:next w:val="Normal"/>
    <w:link w:val="TitleChar"/>
    <w:uiPriority w:val="10"/>
    <w:qFormat/>
    <w:rsid w:val="00727ED5"/>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lang w:val="x-none" w:eastAsia="x-none"/>
    </w:rPr>
  </w:style>
  <w:style w:type="character" w:customStyle="1" w:styleId="TitleChar">
    <w:name w:val="Title Char"/>
    <w:basedOn w:val="DefaultParagraphFont"/>
    <w:link w:val="Title"/>
    <w:uiPriority w:val="10"/>
    <w:rsid w:val="00727ED5"/>
    <w:rPr>
      <w:rFonts w:ascii="Cambria" w:eastAsia="Times New Roman" w:hAnsi="Cambria" w:cs="Times New Roman"/>
      <w:color w:val="17365D"/>
      <w:spacing w:val="5"/>
      <w:kern w:val="28"/>
      <w:sz w:val="52"/>
      <w:szCs w:val="52"/>
      <w:lang w:val="x-none" w:eastAsia="x-none"/>
    </w:rPr>
  </w:style>
  <w:style w:type="paragraph" w:styleId="NoteHeading">
    <w:name w:val="Note Heading"/>
    <w:basedOn w:val="Normal"/>
    <w:next w:val="Normal"/>
    <w:link w:val="NoteHeadingChar"/>
    <w:uiPriority w:val="99"/>
    <w:semiHidden/>
    <w:unhideWhenUsed/>
    <w:rsid w:val="00727ED5"/>
    <w:pPr>
      <w:spacing w:line="240" w:lineRule="auto"/>
    </w:pPr>
    <w:rPr>
      <w:rFonts w:eastAsia="Calibri" w:cs="Times New Roman"/>
      <w:lang w:val="x-none" w:eastAsia="x-none"/>
    </w:rPr>
  </w:style>
  <w:style w:type="character" w:customStyle="1" w:styleId="NoteHeadingChar">
    <w:name w:val="Note Heading Char"/>
    <w:basedOn w:val="DefaultParagraphFont"/>
    <w:link w:val="NoteHeading"/>
    <w:uiPriority w:val="99"/>
    <w:semiHidden/>
    <w:rsid w:val="00727ED5"/>
    <w:rPr>
      <w:rFonts w:eastAsia="Calibri" w:cs="Times New Roman"/>
      <w:sz w:val="22"/>
      <w:lang w:val="x-none" w:eastAsia="x-none"/>
    </w:rPr>
  </w:style>
  <w:style w:type="paragraph" w:styleId="TOCHeading">
    <w:name w:val="TOC Heading"/>
    <w:basedOn w:val="Heading1"/>
    <w:next w:val="Normal"/>
    <w:uiPriority w:val="39"/>
    <w:semiHidden/>
    <w:unhideWhenUsed/>
    <w:qFormat/>
    <w:rsid w:val="00727ED5"/>
    <w:pPr>
      <w:keepLines/>
      <w:pageBreakBefore w:val="0"/>
      <w:overflowPunct/>
      <w:autoSpaceDE/>
      <w:autoSpaceDN/>
      <w:adjustRightInd/>
      <w:spacing w:before="480" w:after="0" w:line="276" w:lineRule="auto"/>
      <w:ind w:left="0" w:firstLine="0"/>
      <w:textAlignment w:val="auto"/>
      <w:outlineLvl w:val="9"/>
    </w:pPr>
    <w:rPr>
      <w:rFonts w:ascii="Cambria" w:hAnsi="Cambria"/>
      <w:bCs/>
      <w:color w:val="365F91"/>
      <w:sz w:val="28"/>
      <w:szCs w:val="28"/>
      <w:lang w:val="en-US" w:eastAsia="ja-JP"/>
    </w:rPr>
  </w:style>
  <w:style w:type="paragraph" w:styleId="DocumentMap">
    <w:name w:val="Document Map"/>
    <w:basedOn w:val="Normal"/>
    <w:link w:val="DocumentMapChar"/>
    <w:uiPriority w:val="99"/>
    <w:semiHidden/>
    <w:unhideWhenUsed/>
    <w:rsid w:val="00727ED5"/>
    <w:rPr>
      <w:rFonts w:ascii="Tahoma" w:eastAsia="Calibri" w:hAnsi="Tahoma" w:cs="Tahoma"/>
      <w:sz w:val="16"/>
      <w:szCs w:val="16"/>
    </w:rPr>
  </w:style>
  <w:style w:type="character" w:customStyle="1" w:styleId="DocumentMapChar">
    <w:name w:val="Document Map Char"/>
    <w:basedOn w:val="DefaultParagraphFont"/>
    <w:link w:val="DocumentMap"/>
    <w:uiPriority w:val="99"/>
    <w:semiHidden/>
    <w:rsid w:val="00727ED5"/>
    <w:rPr>
      <w:rFonts w:ascii="Tahoma" w:eastAsia="Calibri" w:hAnsi="Tahoma" w:cs="Tahoma"/>
      <w:sz w:val="16"/>
      <w:szCs w:val="16"/>
    </w:rPr>
  </w:style>
  <w:style w:type="character" w:styleId="Emphasis">
    <w:name w:val="Emphasis"/>
    <w:uiPriority w:val="20"/>
    <w:qFormat/>
    <w:rsid w:val="00727ED5"/>
    <w:rPr>
      <w:i/>
      <w:iCs/>
    </w:rPr>
  </w:style>
  <w:style w:type="paragraph" w:styleId="BodyText">
    <w:name w:val="Body Text"/>
    <w:basedOn w:val="Normal"/>
    <w:link w:val="BodyTextChar"/>
    <w:unhideWhenUsed/>
    <w:rsid w:val="00727ED5"/>
    <w:pPr>
      <w:spacing w:after="120"/>
    </w:pPr>
    <w:rPr>
      <w:rFonts w:eastAsia="Calibri" w:cs="Times New Roman"/>
    </w:rPr>
  </w:style>
  <w:style w:type="character" w:customStyle="1" w:styleId="BodyTextChar">
    <w:name w:val="Body Text Char"/>
    <w:basedOn w:val="DefaultParagraphFont"/>
    <w:link w:val="BodyText"/>
    <w:rsid w:val="00727ED5"/>
    <w:rPr>
      <w:rFonts w:eastAsia="Calibri" w:cs="Times New Roman"/>
      <w:sz w:val="22"/>
    </w:rPr>
  </w:style>
  <w:style w:type="paragraph" w:styleId="ListBullet2">
    <w:name w:val="List Bullet 2"/>
    <w:basedOn w:val="Normal"/>
    <w:semiHidden/>
    <w:unhideWhenUsed/>
    <w:rsid w:val="00727ED5"/>
    <w:pPr>
      <w:tabs>
        <w:tab w:val="num" w:pos="643"/>
      </w:tabs>
      <w:ind w:left="643" w:hanging="360"/>
      <w:contextualSpacing/>
    </w:pPr>
    <w:rPr>
      <w:rFonts w:eastAsia="Calibri" w:cs="Times New Roman"/>
    </w:rPr>
  </w:style>
  <w:style w:type="character" w:customStyle="1" w:styleId="charlegsubtitle1">
    <w:name w:val="charlegsubtitle1"/>
    <w:rsid w:val="00727ED5"/>
    <w:rPr>
      <w:rFonts w:ascii="Arial" w:hAnsi="Arial" w:cs="Arial" w:hint="default"/>
      <w:b/>
      <w:bCs/>
      <w:sz w:val="28"/>
      <w:szCs w:val="28"/>
    </w:rPr>
  </w:style>
  <w:style w:type="paragraph" w:styleId="EndnoteText">
    <w:name w:val="endnote text"/>
    <w:basedOn w:val="Normal"/>
    <w:link w:val="EndnoteTextChar"/>
    <w:uiPriority w:val="99"/>
    <w:semiHidden/>
    <w:unhideWhenUsed/>
    <w:rsid w:val="00727ED5"/>
    <w:pPr>
      <w:spacing w:line="240" w:lineRule="auto"/>
    </w:pPr>
    <w:rPr>
      <w:rFonts w:eastAsia="Calibri" w:cs="Times New Roman"/>
      <w:sz w:val="20"/>
    </w:rPr>
  </w:style>
  <w:style w:type="character" w:customStyle="1" w:styleId="EndnoteTextChar">
    <w:name w:val="Endnote Text Char"/>
    <w:basedOn w:val="DefaultParagraphFont"/>
    <w:link w:val="EndnoteText"/>
    <w:uiPriority w:val="99"/>
    <w:semiHidden/>
    <w:rsid w:val="00727ED5"/>
    <w:rPr>
      <w:rFonts w:eastAsia="Calibri" w:cs="Times New Roman"/>
    </w:rPr>
  </w:style>
  <w:style w:type="character" w:styleId="EndnoteReference">
    <w:name w:val="endnote reference"/>
    <w:uiPriority w:val="99"/>
    <w:semiHidden/>
    <w:unhideWhenUsed/>
    <w:rsid w:val="00727ED5"/>
    <w:rPr>
      <w:vertAlign w:val="superscript"/>
    </w:rPr>
  </w:style>
  <w:style w:type="character" w:styleId="LineNumber">
    <w:name w:val="line number"/>
    <w:basedOn w:val="DefaultParagraphFont"/>
    <w:uiPriority w:val="99"/>
    <w:semiHidden/>
    <w:unhideWhenUsed/>
    <w:rsid w:val="00727ED5"/>
  </w:style>
  <w:style w:type="character" w:styleId="CommentReference">
    <w:name w:val="annotation reference"/>
    <w:uiPriority w:val="99"/>
    <w:semiHidden/>
    <w:unhideWhenUsed/>
    <w:rsid w:val="00727ED5"/>
    <w:rPr>
      <w:sz w:val="16"/>
      <w:szCs w:val="16"/>
    </w:rPr>
  </w:style>
  <w:style w:type="paragraph" w:styleId="CommentText">
    <w:name w:val="annotation text"/>
    <w:basedOn w:val="Normal"/>
    <w:link w:val="CommentTextChar"/>
    <w:uiPriority w:val="99"/>
    <w:unhideWhenUsed/>
    <w:rsid w:val="00727ED5"/>
    <w:pPr>
      <w:spacing w:line="240" w:lineRule="auto"/>
    </w:pPr>
    <w:rPr>
      <w:rFonts w:eastAsia="Calibri" w:cs="Times New Roman"/>
      <w:sz w:val="20"/>
    </w:rPr>
  </w:style>
  <w:style w:type="character" w:customStyle="1" w:styleId="CommentTextChar">
    <w:name w:val="Comment Text Char"/>
    <w:basedOn w:val="DefaultParagraphFont"/>
    <w:link w:val="CommentText"/>
    <w:uiPriority w:val="99"/>
    <w:rsid w:val="00727ED5"/>
    <w:rPr>
      <w:rFonts w:eastAsia="Calibri" w:cs="Times New Roman"/>
    </w:rPr>
  </w:style>
  <w:style w:type="paragraph" w:styleId="CommentSubject">
    <w:name w:val="annotation subject"/>
    <w:basedOn w:val="CommentText"/>
    <w:next w:val="CommentText"/>
    <w:link w:val="CommentSubjectChar"/>
    <w:uiPriority w:val="99"/>
    <w:semiHidden/>
    <w:unhideWhenUsed/>
    <w:rsid w:val="00727ED5"/>
    <w:rPr>
      <w:b/>
      <w:bCs/>
    </w:rPr>
  </w:style>
  <w:style w:type="character" w:customStyle="1" w:styleId="CommentSubjectChar">
    <w:name w:val="Comment Subject Char"/>
    <w:basedOn w:val="CommentTextChar"/>
    <w:link w:val="CommentSubject"/>
    <w:uiPriority w:val="99"/>
    <w:semiHidden/>
    <w:rsid w:val="00727ED5"/>
    <w:rPr>
      <w:rFonts w:eastAsia="Calibri" w:cs="Times New Roman"/>
      <w:b/>
      <w:bCs/>
    </w:rPr>
  </w:style>
  <w:style w:type="character" w:customStyle="1" w:styleId="charsrch-url2">
    <w:name w:val="charsrch-url2"/>
    <w:rsid w:val="00727ED5"/>
  </w:style>
  <w:style w:type="character" w:styleId="PlaceholderText">
    <w:name w:val="Placeholder Text"/>
    <w:uiPriority w:val="99"/>
    <w:semiHidden/>
    <w:rsid w:val="00727ED5"/>
    <w:rPr>
      <w:color w:val="808080"/>
    </w:rPr>
  </w:style>
  <w:style w:type="paragraph" w:styleId="Quote">
    <w:name w:val="Quote"/>
    <w:basedOn w:val="Normal"/>
    <w:link w:val="QuoteChar"/>
    <w:qFormat/>
    <w:rsid w:val="00727ED5"/>
    <w:pPr>
      <w:spacing w:after="240" w:line="240" w:lineRule="auto"/>
      <w:ind w:left="851" w:right="851"/>
      <w:jc w:val="both"/>
    </w:pPr>
    <w:rPr>
      <w:rFonts w:eastAsia="Times New Roman" w:cs="Times New Roman"/>
      <w:sz w:val="24"/>
    </w:rPr>
  </w:style>
  <w:style w:type="character" w:customStyle="1" w:styleId="QuoteChar">
    <w:name w:val="Quote Char"/>
    <w:basedOn w:val="DefaultParagraphFont"/>
    <w:link w:val="Quote"/>
    <w:rsid w:val="00727ED5"/>
    <w:rPr>
      <w:rFonts w:eastAsia="Times New Roman" w:cs="Times New Roman"/>
      <w:sz w:val="24"/>
    </w:rPr>
  </w:style>
  <w:style w:type="character" w:customStyle="1" w:styleId="charapple-converted-space">
    <w:name w:val="charapple-converted-space"/>
    <w:rsid w:val="00727ED5"/>
  </w:style>
  <w:style w:type="paragraph" w:styleId="Revision">
    <w:name w:val="Revision"/>
    <w:hidden/>
    <w:uiPriority w:val="99"/>
    <w:semiHidden/>
    <w:rsid w:val="00727ED5"/>
    <w:rPr>
      <w:rFonts w:eastAsia="Calibri" w:cs="Times New Roman"/>
      <w:sz w:val="22"/>
    </w:rPr>
  </w:style>
  <w:style w:type="paragraph" w:customStyle="1" w:styleId="Issued">
    <w:name w:val="Issued"/>
    <w:basedOn w:val="Body"/>
    <w:rsid w:val="00D24275"/>
    <w:pPr>
      <w:spacing w:before="120"/>
    </w:pPr>
    <w:rPr>
      <w:b/>
      <w:sz w:val="28"/>
    </w:rPr>
  </w:style>
  <w:style w:type="paragraph" w:customStyle="1" w:styleId="Release">
    <w:name w:val="Release"/>
    <w:basedOn w:val="Body"/>
    <w:rsid w:val="00D24275"/>
    <w:rPr>
      <w:b/>
    </w:rPr>
  </w:style>
  <w:style w:type="paragraph" w:customStyle="1" w:styleId="SundryBoxHeadBold">
    <w:name w:val="SundryBoxHeadBold"/>
    <w:aliases w:val="sbhb"/>
    <w:basedOn w:val="BoxHeadBold"/>
    <w:rsid w:val="00C83987"/>
    <w:pPr>
      <w:ind w:left="0"/>
    </w:pPr>
    <w:rPr>
      <w:sz w:val="24"/>
      <w:szCs w:val="24"/>
    </w:rPr>
  </w:style>
  <w:style w:type="paragraph" w:customStyle="1" w:styleId="SundryBoxStep">
    <w:name w:val="SundryBoxStep"/>
    <w:aliases w:val="sbs"/>
    <w:basedOn w:val="BoxStep"/>
    <w:rsid w:val="00C83987"/>
  </w:style>
  <w:style w:type="paragraph" w:customStyle="1" w:styleId="SundryBoxBullet">
    <w:name w:val="SundryBoxBullet"/>
    <w:aliases w:val="sbb"/>
    <w:basedOn w:val="SOBullet"/>
    <w:rsid w:val="00F75BA9"/>
    <w:pPr>
      <w:ind w:left="425"/>
    </w:pPr>
    <w:rPr>
      <w:sz w:val="24"/>
      <w:szCs w:val="24"/>
    </w:rPr>
  </w:style>
  <w:style w:type="character" w:customStyle="1" w:styleId="paragraphChar">
    <w:name w:val="paragraph Char"/>
    <w:aliases w:val="a Char"/>
    <w:basedOn w:val="DefaultParagraphFont"/>
    <w:link w:val="paragraph"/>
    <w:rsid w:val="004D660C"/>
    <w:rPr>
      <w:rFonts w:eastAsia="Times New Roman" w:cs="Times New Roman"/>
      <w:sz w:val="22"/>
      <w:lang w:eastAsia="en-AU"/>
    </w:rPr>
  </w:style>
  <w:style w:type="character" w:customStyle="1" w:styleId="subsectionChar">
    <w:name w:val="subsection Char"/>
    <w:aliases w:val="ss Char"/>
    <w:basedOn w:val="DefaultParagraphFont"/>
    <w:link w:val="subsection"/>
    <w:rsid w:val="004D660C"/>
    <w:rPr>
      <w:rFonts w:eastAsia="Times New Roman" w:cs="Times New Roman"/>
      <w:sz w:val="22"/>
      <w:lang w:eastAsia="en-AU"/>
    </w:rPr>
  </w:style>
  <w:style w:type="paragraph" w:customStyle="1" w:styleId="tableheading0">
    <w:name w:val="tableheading"/>
    <w:basedOn w:val="Normal"/>
    <w:rsid w:val="001E2F20"/>
    <w:pPr>
      <w:spacing w:before="100" w:beforeAutospacing="1" w:after="100" w:afterAutospacing="1" w:line="240" w:lineRule="auto"/>
    </w:pPr>
    <w:rPr>
      <w:rFonts w:eastAsia="Times New Roman" w:cs="Times New Roman"/>
      <w:sz w:val="24"/>
      <w:szCs w:val="24"/>
      <w:lang w:eastAsia="en-AU"/>
    </w:rPr>
  </w:style>
  <w:style w:type="paragraph" w:customStyle="1" w:styleId="tabletext0">
    <w:name w:val="tabletext"/>
    <w:basedOn w:val="Normal"/>
    <w:rsid w:val="001E2F20"/>
    <w:pPr>
      <w:spacing w:before="100" w:beforeAutospacing="1" w:after="100" w:afterAutospacing="1" w:line="240" w:lineRule="auto"/>
    </w:pPr>
    <w:rPr>
      <w:rFonts w:eastAsia="Times New Roman" w:cs="Times New Roman"/>
      <w:sz w:val="24"/>
      <w:szCs w:val="24"/>
      <w:lang w:eastAsia="en-AU"/>
    </w:rPr>
  </w:style>
  <w:style w:type="character" w:styleId="UnresolvedMention">
    <w:name w:val="Unresolved Mention"/>
    <w:basedOn w:val="DefaultParagraphFont"/>
    <w:uiPriority w:val="99"/>
    <w:semiHidden/>
    <w:unhideWhenUsed/>
    <w:rsid w:val="00277385"/>
    <w:rPr>
      <w:color w:val="605E5C"/>
      <w:shd w:val="clear" w:color="auto" w:fill="E1DFDD"/>
    </w:rPr>
  </w:style>
  <w:style w:type="paragraph" w:customStyle="1" w:styleId="paragraphsub0">
    <w:name w:val="paragraphsub"/>
    <w:basedOn w:val="Normal"/>
    <w:rsid w:val="00C5292E"/>
    <w:pPr>
      <w:spacing w:before="100" w:beforeAutospacing="1" w:after="100" w:afterAutospacing="1" w:line="240" w:lineRule="auto"/>
    </w:pPr>
    <w:rPr>
      <w:rFonts w:eastAsia="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050495">
      <w:bodyDiv w:val="1"/>
      <w:marLeft w:val="0"/>
      <w:marRight w:val="0"/>
      <w:marTop w:val="0"/>
      <w:marBottom w:val="0"/>
      <w:divBdr>
        <w:top w:val="none" w:sz="0" w:space="0" w:color="auto"/>
        <w:left w:val="none" w:sz="0" w:space="0" w:color="auto"/>
        <w:bottom w:val="none" w:sz="0" w:space="0" w:color="auto"/>
        <w:right w:val="none" w:sz="0" w:space="0" w:color="auto"/>
      </w:divBdr>
    </w:div>
    <w:div w:id="141969571">
      <w:bodyDiv w:val="1"/>
      <w:marLeft w:val="0"/>
      <w:marRight w:val="0"/>
      <w:marTop w:val="0"/>
      <w:marBottom w:val="0"/>
      <w:divBdr>
        <w:top w:val="none" w:sz="0" w:space="0" w:color="auto"/>
        <w:left w:val="none" w:sz="0" w:space="0" w:color="auto"/>
        <w:bottom w:val="none" w:sz="0" w:space="0" w:color="auto"/>
        <w:right w:val="none" w:sz="0" w:space="0" w:color="auto"/>
      </w:divBdr>
    </w:div>
    <w:div w:id="146823983">
      <w:bodyDiv w:val="1"/>
      <w:marLeft w:val="0"/>
      <w:marRight w:val="0"/>
      <w:marTop w:val="0"/>
      <w:marBottom w:val="0"/>
      <w:divBdr>
        <w:top w:val="none" w:sz="0" w:space="0" w:color="auto"/>
        <w:left w:val="none" w:sz="0" w:space="0" w:color="auto"/>
        <w:bottom w:val="none" w:sz="0" w:space="0" w:color="auto"/>
        <w:right w:val="none" w:sz="0" w:space="0" w:color="auto"/>
      </w:divBdr>
    </w:div>
    <w:div w:id="236980400">
      <w:bodyDiv w:val="1"/>
      <w:marLeft w:val="0"/>
      <w:marRight w:val="0"/>
      <w:marTop w:val="0"/>
      <w:marBottom w:val="0"/>
      <w:divBdr>
        <w:top w:val="none" w:sz="0" w:space="0" w:color="auto"/>
        <w:left w:val="none" w:sz="0" w:space="0" w:color="auto"/>
        <w:bottom w:val="none" w:sz="0" w:space="0" w:color="auto"/>
        <w:right w:val="none" w:sz="0" w:space="0" w:color="auto"/>
      </w:divBdr>
    </w:div>
    <w:div w:id="251088820">
      <w:bodyDiv w:val="1"/>
      <w:marLeft w:val="0"/>
      <w:marRight w:val="0"/>
      <w:marTop w:val="0"/>
      <w:marBottom w:val="0"/>
      <w:divBdr>
        <w:top w:val="none" w:sz="0" w:space="0" w:color="auto"/>
        <w:left w:val="none" w:sz="0" w:space="0" w:color="auto"/>
        <w:bottom w:val="none" w:sz="0" w:space="0" w:color="auto"/>
        <w:right w:val="none" w:sz="0" w:space="0" w:color="auto"/>
      </w:divBdr>
    </w:div>
    <w:div w:id="292978684">
      <w:bodyDiv w:val="1"/>
      <w:marLeft w:val="0"/>
      <w:marRight w:val="0"/>
      <w:marTop w:val="0"/>
      <w:marBottom w:val="0"/>
      <w:divBdr>
        <w:top w:val="none" w:sz="0" w:space="0" w:color="auto"/>
        <w:left w:val="none" w:sz="0" w:space="0" w:color="auto"/>
        <w:bottom w:val="none" w:sz="0" w:space="0" w:color="auto"/>
        <w:right w:val="none" w:sz="0" w:space="0" w:color="auto"/>
      </w:divBdr>
    </w:div>
    <w:div w:id="429087204">
      <w:bodyDiv w:val="1"/>
      <w:marLeft w:val="0"/>
      <w:marRight w:val="0"/>
      <w:marTop w:val="0"/>
      <w:marBottom w:val="0"/>
      <w:divBdr>
        <w:top w:val="none" w:sz="0" w:space="0" w:color="auto"/>
        <w:left w:val="none" w:sz="0" w:space="0" w:color="auto"/>
        <w:bottom w:val="none" w:sz="0" w:space="0" w:color="auto"/>
        <w:right w:val="none" w:sz="0" w:space="0" w:color="auto"/>
      </w:divBdr>
    </w:div>
    <w:div w:id="562452832">
      <w:bodyDiv w:val="1"/>
      <w:marLeft w:val="0"/>
      <w:marRight w:val="0"/>
      <w:marTop w:val="0"/>
      <w:marBottom w:val="0"/>
      <w:divBdr>
        <w:top w:val="none" w:sz="0" w:space="0" w:color="auto"/>
        <w:left w:val="none" w:sz="0" w:space="0" w:color="auto"/>
        <w:bottom w:val="none" w:sz="0" w:space="0" w:color="auto"/>
        <w:right w:val="none" w:sz="0" w:space="0" w:color="auto"/>
      </w:divBdr>
    </w:div>
    <w:div w:id="589511560">
      <w:bodyDiv w:val="1"/>
      <w:marLeft w:val="0"/>
      <w:marRight w:val="0"/>
      <w:marTop w:val="0"/>
      <w:marBottom w:val="0"/>
      <w:divBdr>
        <w:top w:val="none" w:sz="0" w:space="0" w:color="auto"/>
        <w:left w:val="none" w:sz="0" w:space="0" w:color="auto"/>
        <w:bottom w:val="none" w:sz="0" w:space="0" w:color="auto"/>
        <w:right w:val="none" w:sz="0" w:space="0" w:color="auto"/>
      </w:divBdr>
    </w:div>
    <w:div w:id="604384689">
      <w:bodyDiv w:val="1"/>
      <w:marLeft w:val="0"/>
      <w:marRight w:val="0"/>
      <w:marTop w:val="0"/>
      <w:marBottom w:val="0"/>
      <w:divBdr>
        <w:top w:val="none" w:sz="0" w:space="0" w:color="auto"/>
        <w:left w:val="none" w:sz="0" w:space="0" w:color="auto"/>
        <w:bottom w:val="none" w:sz="0" w:space="0" w:color="auto"/>
        <w:right w:val="none" w:sz="0" w:space="0" w:color="auto"/>
      </w:divBdr>
      <w:divsChild>
        <w:div w:id="382751954">
          <w:marLeft w:val="0"/>
          <w:marRight w:val="0"/>
          <w:marTop w:val="0"/>
          <w:marBottom w:val="0"/>
          <w:divBdr>
            <w:top w:val="none" w:sz="0" w:space="0" w:color="auto"/>
            <w:left w:val="none" w:sz="0" w:space="0" w:color="auto"/>
            <w:bottom w:val="none" w:sz="0" w:space="0" w:color="auto"/>
            <w:right w:val="none" w:sz="0" w:space="0" w:color="auto"/>
          </w:divBdr>
          <w:divsChild>
            <w:div w:id="270628633">
              <w:marLeft w:val="0"/>
              <w:marRight w:val="0"/>
              <w:marTop w:val="0"/>
              <w:marBottom w:val="0"/>
              <w:divBdr>
                <w:top w:val="none" w:sz="0" w:space="0" w:color="auto"/>
                <w:left w:val="none" w:sz="0" w:space="0" w:color="auto"/>
                <w:bottom w:val="none" w:sz="0" w:space="0" w:color="auto"/>
                <w:right w:val="none" w:sz="0" w:space="0" w:color="auto"/>
              </w:divBdr>
              <w:divsChild>
                <w:div w:id="1342315235">
                  <w:marLeft w:val="0"/>
                  <w:marRight w:val="0"/>
                  <w:marTop w:val="0"/>
                  <w:marBottom w:val="0"/>
                  <w:divBdr>
                    <w:top w:val="none" w:sz="0" w:space="0" w:color="auto"/>
                    <w:left w:val="none" w:sz="0" w:space="0" w:color="auto"/>
                    <w:bottom w:val="none" w:sz="0" w:space="0" w:color="auto"/>
                    <w:right w:val="none" w:sz="0" w:space="0" w:color="auto"/>
                  </w:divBdr>
                  <w:divsChild>
                    <w:div w:id="1242643832">
                      <w:marLeft w:val="0"/>
                      <w:marRight w:val="0"/>
                      <w:marTop w:val="0"/>
                      <w:marBottom w:val="0"/>
                      <w:divBdr>
                        <w:top w:val="none" w:sz="0" w:space="0" w:color="auto"/>
                        <w:left w:val="none" w:sz="0" w:space="0" w:color="auto"/>
                        <w:bottom w:val="none" w:sz="0" w:space="0" w:color="auto"/>
                        <w:right w:val="none" w:sz="0" w:space="0" w:color="auto"/>
                      </w:divBdr>
                      <w:divsChild>
                        <w:div w:id="358895527">
                          <w:marLeft w:val="0"/>
                          <w:marRight w:val="0"/>
                          <w:marTop w:val="0"/>
                          <w:marBottom w:val="0"/>
                          <w:divBdr>
                            <w:top w:val="none" w:sz="0" w:space="0" w:color="auto"/>
                            <w:left w:val="none" w:sz="0" w:space="0" w:color="auto"/>
                            <w:bottom w:val="none" w:sz="0" w:space="0" w:color="auto"/>
                            <w:right w:val="none" w:sz="0" w:space="0" w:color="auto"/>
                          </w:divBdr>
                          <w:divsChild>
                            <w:div w:id="513761024">
                              <w:marLeft w:val="0"/>
                              <w:marRight w:val="0"/>
                              <w:marTop w:val="0"/>
                              <w:marBottom w:val="0"/>
                              <w:divBdr>
                                <w:top w:val="none" w:sz="0" w:space="0" w:color="auto"/>
                                <w:left w:val="none" w:sz="0" w:space="0" w:color="auto"/>
                                <w:bottom w:val="none" w:sz="0" w:space="0" w:color="auto"/>
                                <w:right w:val="none" w:sz="0" w:space="0" w:color="auto"/>
                              </w:divBdr>
                              <w:divsChild>
                                <w:div w:id="976254518">
                                  <w:marLeft w:val="0"/>
                                  <w:marRight w:val="0"/>
                                  <w:marTop w:val="0"/>
                                  <w:marBottom w:val="0"/>
                                  <w:divBdr>
                                    <w:top w:val="none" w:sz="0" w:space="0" w:color="auto"/>
                                    <w:left w:val="none" w:sz="0" w:space="0" w:color="auto"/>
                                    <w:bottom w:val="none" w:sz="0" w:space="0" w:color="auto"/>
                                    <w:right w:val="none" w:sz="0" w:space="0" w:color="auto"/>
                                  </w:divBdr>
                                  <w:divsChild>
                                    <w:div w:id="1618288767">
                                      <w:marLeft w:val="0"/>
                                      <w:marRight w:val="0"/>
                                      <w:marTop w:val="0"/>
                                      <w:marBottom w:val="0"/>
                                      <w:divBdr>
                                        <w:top w:val="none" w:sz="0" w:space="0" w:color="auto"/>
                                        <w:left w:val="none" w:sz="0" w:space="0" w:color="auto"/>
                                        <w:bottom w:val="none" w:sz="0" w:space="0" w:color="auto"/>
                                        <w:right w:val="none" w:sz="0" w:space="0" w:color="auto"/>
                                      </w:divBdr>
                                      <w:divsChild>
                                        <w:div w:id="1558783835">
                                          <w:marLeft w:val="0"/>
                                          <w:marRight w:val="0"/>
                                          <w:marTop w:val="0"/>
                                          <w:marBottom w:val="0"/>
                                          <w:divBdr>
                                            <w:top w:val="none" w:sz="0" w:space="0" w:color="auto"/>
                                            <w:left w:val="none" w:sz="0" w:space="0" w:color="auto"/>
                                            <w:bottom w:val="none" w:sz="0" w:space="0" w:color="auto"/>
                                            <w:right w:val="none" w:sz="0" w:space="0" w:color="auto"/>
                                          </w:divBdr>
                                          <w:divsChild>
                                            <w:div w:id="1785036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3563466">
      <w:bodyDiv w:val="1"/>
      <w:marLeft w:val="0"/>
      <w:marRight w:val="0"/>
      <w:marTop w:val="0"/>
      <w:marBottom w:val="0"/>
      <w:divBdr>
        <w:top w:val="none" w:sz="0" w:space="0" w:color="auto"/>
        <w:left w:val="none" w:sz="0" w:space="0" w:color="auto"/>
        <w:bottom w:val="none" w:sz="0" w:space="0" w:color="auto"/>
        <w:right w:val="none" w:sz="0" w:space="0" w:color="auto"/>
      </w:divBdr>
    </w:div>
    <w:div w:id="687605385">
      <w:bodyDiv w:val="1"/>
      <w:marLeft w:val="0"/>
      <w:marRight w:val="0"/>
      <w:marTop w:val="0"/>
      <w:marBottom w:val="0"/>
      <w:divBdr>
        <w:top w:val="none" w:sz="0" w:space="0" w:color="auto"/>
        <w:left w:val="none" w:sz="0" w:space="0" w:color="auto"/>
        <w:bottom w:val="none" w:sz="0" w:space="0" w:color="auto"/>
        <w:right w:val="none" w:sz="0" w:space="0" w:color="auto"/>
      </w:divBdr>
    </w:div>
    <w:div w:id="705763261">
      <w:bodyDiv w:val="1"/>
      <w:marLeft w:val="0"/>
      <w:marRight w:val="0"/>
      <w:marTop w:val="0"/>
      <w:marBottom w:val="0"/>
      <w:divBdr>
        <w:top w:val="none" w:sz="0" w:space="0" w:color="auto"/>
        <w:left w:val="none" w:sz="0" w:space="0" w:color="auto"/>
        <w:bottom w:val="none" w:sz="0" w:space="0" w:color="auto"/>
        <w:right w:val="none" w:sz="0" w:space="0" w:color="auto"/>
      </w:divBdr>
    </w:div>
    <w:div w:id="714619812">
      <w:bodyDiv w:val="1"/>
      <w:marLeft w:val="0"/>
      <w:marRight w:val="0"/>
      <w:marTop w:val="0"/>
      <w:marBottom w:val="0"/>
      <w:divBdr>
        <w:top w:val="none" w:sz="0" w:space="0" w:color="auto"/>
        <w:left w:val="none" w:sz="0" w:space="0" w:color="auto"/>
        <w:bottom w:val="none" w:sz="0" w:space="0" w:color="auto"/>
        <w:right w:val="none" w:sz="0" w:space="0" w:color="auto"/>
      </w:divBdr>
    </w:div>
    <w:div w:id="737938301">
      <w:bodyDiv w:val="1"/>
      <w:marLeft w:val="0"/>
      <w:marRight w:val="0"/>
      <w:marTop w:val="0"/>
      <w:marBottom w:val="0"/>
      <w:divBdr>
        <w:top w:val="none" w:sz="0" w:space="0" w:color="auto"/>
        <w:left w:val="none" w:sz="0" w:space="0" w:color="auto"/>
        <w:bottom w:val="none" w:sz="0" w:space="0" w:color="auto"/>
        <w:right w:val="none" w:sz="0" w:space="0" w:color="auto"/>
      </w:divBdr>
    </w:div>
    <w:div w:id="887179706">
      <w:bodyDiv w:val="1"/>
      <w:marLeft w:val="0"/>
      <w:marRight w:val="0"/>
      <w:marTop w:val="0"/>
      <w:marBottom w:val="0"/>
      <w:divBdr>
        <w:top w:val="none" w:sz="0" w:space="0" w:color="auto"/>
        <w:left w:val="none" w:sz="0" w:space="0" w:color="auto"/>
        <w:bottom w:val="none" w:sz="0" w:space="0" w:color="auto"/>
        <w:right w:val="none" w:sz="0" w:space="0" w:color="auto"/>
      </w:divBdr>
    </w:div>
    <w:div w:id="994455290">
      <w:bodyDiv w:val="1"/>
      <w:marLeft w:val="0"/>
      <w:marRight w:val="0"/>
      <w:marTop w:val="0"/>
      <w:marBottom w:val="0"/>
      <w:divBdr>
        <w:top w:val="none" w:sz="0" w:space="0" w:color="auto"/>
        <w:left w:val="none" w:sz="0" w:space="0" w:color="auto"/>
        <w:bottom w:val="none" w:sz="0" w:space="0" w:color="auto"/>
        <w:right w:val="none" w:sz="0" w:space="0" w:color="auto"/>
      </w:divBdr>
    </w:div>
    <w:div w:id="1003121929">
      <w:bodyDiv w:val="1"/>
      <w:marLeft w:val="0"/>
      <w:marRight w:val="0"/>
      <w:marTop w:val="0"/>
      <w:marBottom w:val="0"/>
      <w:divBdr>
        <w:top w:val="none" w:sz="0" w:space="0" w:color="auto"/>
        <w:left w:val="none" w:sz="0" w:space="0" w:color="auto"/>
        <w:bottom w:val="none" w:sz="0" w:space="0" w:color="auto"/>
        <w:right w:val="none" w:sz="0" w:space="0" w:color="auto"/>
      </w:divBdr>
    </w:div>
    <w:div w:id="1005329618">
      <w:bodyDiv w:val="1"/>
      <w:marLeft w:val="0"/>
      <w:marRight w:val="0"/>
      <w:marTop w:val="0"/>
      <w:marBottom w:val="0"/>
      <w:divBdr>
        <w:top w:val="none" w:sz="0" w:space="0" w:color="auto"/>
        <w:left w:val="none" w:sz="0" w:space="0" w:color="auto"/>
        <w:bottom w:val="none" w:sz="0" w:space="0" w:color="auto"/>
        <w:right w:val="none" w:sz="0" w:space="0" w:color="auto"/>
      </w:divBdr>
    </w:div>
    <w:div w:id="1078288877">
      <w:bodyDiv w:val="1"/>
      <w:marLeft w:val="0"/>
      <w:marRight w:val="0"/>
      <w:marTop w:val="0"/>
      <w:marBottom w:val="0"/>
      <w:divBdr>
        <w:top w:val="none" w:sz="0" w:space="0" w:color="auto"/>
        <w:left w:val="none" w:sz="0" w:space="0" w:color="auto"/>
        <w:bottom w:val="none" w:sz="0" w:space="0" w:color="auto"/>
        <w:right w:val="none" w:sz="0" w:space="0" w:color="auto"/>
      </w:divBdr>
    </w:div>
    <w:div w:id="1195729281">
      <w:bodyDiv w:val="1"/>
      <w:marLeft w:val="0"/>
      <w:marRight w:val="0"/>
      <w:marTop w:val="0"/>
      <w:marBottom w:val="0"/>
      <w:divBdr>
        <w:top w:val="none" w:sz="0" w:space="0" w:color="auto"/>
        <w:left w:val="none" w:sz="0" w:space="0" w:color="auto"/>
        <w:bottom w:val="none" w:sz="0" w:space="0" w:color="auto"/>
        <w:right w:val="none" w:sz="0" w:space="0" w:color="auto"/>
      </w:divBdr>
    </w:div>
    <w:div w:id="1402868485">
      <w:bodyDiv w:val="1"/>
      <w:marLeft w:val="0"/>
      <w:marRight w:val="0"/>
      <w:marTop w:val="0"/>
      <w:marBottom w:val="0"/>
      <w:divBdr>
        <w:top w:val="none" w:sz="0" w:space="0" w:color="auto"/>
        <w:left w:val="none" w:sz="0" w:space="0" w:color="auto"/>
        <w:bottom w:val="none" w:sz="0" w:space="0" w:color="auto"/>
        <w:right w:val="none" w:sz="0" w:space="0" w:color="auto"/>
      </w:divBdr>
    </w:div>
    <w:div w:id="1452943501">
      <w:bodyDiv w:val="1"/>
      <w:marLeft w:val="0"/>
      <w:marRight w:val="0"/>
      <w:marTop w:val="0"/>
      <w:marBottom w:val="0"/>
      <w:divBdr>
        <w:top w:val="none" w:sz="0" w:space="0" w:color="auto"/>
        <w:left w:val="none" w:sz="0" w:space="0" w:color="auto"/>
        <w:bottom w:val="none" w:sz="0" w:space="0" w:color="auto"/>
        <w:right w:val="none" w:sz="0" w:space="0" w:color="auto"/>
      </w:divBdr>
    </w:div>
    <w:div w:id="1482651730">
      <w:bodyDiv w:val="1"/>
      <w:marLeft w:val="0"/>
      <w:marRight w:val="0"/>
      <w:marTop w:val="0"/>
      <w:marBottom w:val="0"/>
      <w:divBdr>
        <w:top w:val="none" w:sz="0" w:space="0" w:color="auto"/>
        <w:left w:val="none" w:sz="0" w:space="0" w:color="auto"/>
        <w:bottom w:val="none" w:sz="0" w:space="0" w:color="auto"/>
        <w:right w:val="none" w:sz="0" w:space="0" w:color="auto"/>
      </w:divBdr>
    </w:div>
    <w:div w:id="1483545354">
      <w:bodyDiv w:val="1"/>
      <w:marLeft w:val="0"/>
      <w:marRight w:val="0"/>
      <w:marTop w:val="0"/>
      <w:marBottom w:val="0"/>
      <w:divBdr>
        <w:top w:val="none" w:sz="0" w:space="0" w:color="auto"/>
        <w:left w:val="none" w:sz="0" w:space="0" w:color="auto"/>
        <w:bottom w:val="none" w:sz="0" w:space="0" w:color="auto"/>
        <w:right w:val="none" w:sz="0" w:space="0" w:color="auto"/>
      </w:divBdr>
    </w:div>
    <w:div w:id="1652171907">
      <w:bodyDiv w:val="1"/>
      <w:marLeft w:val="0"/>
      <w:marRight w:val="0"/>
      <w:marTop w:val="0"/>
      <w:marBottom w:val="0"/>
      <w:divBdr>
        <w:top w:val="none" w:sz="0" w:space="0" w:color="auto"/>
        <w:left w:val="none" w:sz="0" w:space="0" w:color="auto"/>
        <w:bottom w:val="none" w:sz="0" w:space="0" w:color="auto"/>
        <w:right w:val="none" w:sz="0" w:space="0" w:color="auto"/>
      </w:divBdr>
    </w:div>
    <w:div w:id="1680277986">
      <w:bodyDiv w:val="1"/>
      <w:marLeft w:val="0"/>
      <w:marRight w:val="0"/>
      <w:marTop w:val="0"/>
      <w:marBottom w:val="0"/>
      <w:divBdr>
        <w:top w:val="none" w:sz="0" w:space="0" w:color="auto"/>
        <w:left w:val="none" w:sz="0" w:space="0" w:color="auto"/>
        <w:bottom w:val="none" w:sz="0" w:space="0" w:color="auto"/>
        <w:right w:val="none" w:sz="0" w:space="0" w:color="auto"/>
      </w:divBdr>
    </w:div>
    <w:div w:id="1686861947">
      <w:bodyDiv w:val="1"/>
      <w:marLeft w:val="0"/>
      <w:marRight w:val="0"/>
      <w:marTop w:val="0"/>
      <w:marBottom w:val="0"/>
      <w:divBdr>
        <w:top w:val="none" w:sz="0" w:space="0" w:color="auto"/>
        <w:left w:val="none" w:sz="0" w:space="0" w:color="auto"/>
        <w:bottom w:val="none" w:sz="0" w:space="0" w:color="auto"/>
        <w:right w:val="none" w:sz="0" w:space="0" w:color="auto"/>
      </w:divBdr>
    </w:div>
    <w:div w:id="1742172700">
      <w:bodyDiv w:val="1"/>
      <w:marLeft w:val="0"/>
      <w:marRight w:val="0"/>
      <w:marTop w:val="0"/>
      <w:marBottom w:val="0"/>
      <w:divBdr>
        <w:top w:val="none" w:sz="0" w:space="0" w:color="auto"/>
        <w:left w:val="none" w:sz="0" w:space="0" w:color="auto"/>
        <w:bottom w:val="none" w:sz="0" w:space="0" w:color="auto"/>
        <w:right w:val="none" w:sz="0" w:space="0" w:color="auto"/>
      </w:divBdr>
      <w:divsChild>
        <w:div w:id="502009953">
          <w:marLeft w:val="0"/>
          <w:marRight w:val="0"/>
          <w:marTop w:val="0"/>
          <w:marBottom w:val="0"/>
          <w:divBdr>
            <w:top w:val="none" w:sz="0" w:space="0" w:color="auto"/>
            <w:left w:val="none" w:sz="0" w:space="0" w:color="auto"/>
            <w:bottom w:val="none" w:sz="0" w:space="0" w:color="auto"/>
            <w:right w:val="none" w:sz="0" w:space="0" w:color="auto"/>
          </w:divBdr>
          <w:divsChild>
            <w:div w:id="242036546">
              <w:marLeft w:val="0"/>
              <w:marRight w:val="0"/>
              <w:marTop w:val="0"/>
              <w:marBottom w:val="0"/>
              <w:divBdr>
                <w:top w:val="none" w:sz="0" w:space="0" w:color="auto"/>
                <w:left w:val="none" w:sz="0" w:space="0" w:color="auto"/>
                <w:bottom w:val="none" w:sz="0" w:space="0" w:color="auto"/>
                <w:right w:val="none" w:sz="0" w:space="0" w:color="auto"/>
              </w:divBdr>
              <w:divsChild>
                <w:div w:id="1564639074">
                  <w:marLeft w:val="0"/>
                  <w:marRight w:val="0"/>
                  <w:marTop w:val="0"/>
                  <w:marBottom w:val="0"/>
                  <w:divBdr>
                    <w:top w:val="none" w:sz="0" w:space="0" w:color="auto"/>
                    <w:left w:val="none" w:sz="0" w:space="0" w:color="auto"/>
                    <w:bottom w:val="none" w:sz="0" w:space="0" w:color="auto"/>
                    <w:right w:val="none" w:sz="0" w:space="0" w:color="auto"/>
                  </w:divBdr>
                  <w:divsChild>
                    <w:div w:id="412825386">
                      <w:marLeft w:val="0"/>
                      <w:marRight w:val="0"/>
                      <w:marTop w:val="0"/>
                      <w:marBottom w:val="0"/>
                      <w:divBdr>
                        <w:top w:val="none" w:sz="0" w:space="0" w:color="auto"/>
                        <w:left w:val="none" w:sz="0" w:space="0" w:color="auto"/>
                        <w:bottom w:val="none" w:sz="0" w:space="0" w:color="auto"/>
                        <w:right w:val="none" w:sz="0" w:space="0" w:color="auto"/>
                      </w:divBdr>
                      <w:divsChild>
                        <w:div w:id="809054842">
                          <w:marLeft w:val="0"/>
                          <w:marRight w:val="0"/>
                          <w:marTop w:val="0"/>
                          <w:marBottom w:val="0"/>
                          <w:divBdr>
                            <w:top w:val="none" w:sz="0" w:space="0" w:color="auto"/>
                            <w:left w:val="none" w:sz="0" w:space="0" w:color="auto"/>
                            <w:bottom w:val="none" w:sz="0" w:space="0" w:color="auto"/>
                            <w:right w:val="none" w:sz="0" w:space="0" w:color="auto"/>
                          </w:divBdr>
                          <w:divsChild>
                            <w:div w:id="688138090">
                              <w:marLeft w:val="0"/>
                              <w:marRight w:val="0"/>
                              <w:marTop w:val="0"/>
                              <w:marBottom w:val="0"/>
                              <w:divBdr>
                                <w:top w:val="none" w:sz="0" w:space="0" w:color="auto"/>
                                <w:left w:val="none" w:sz="0" w:space="0" w:color="auto"/>
                                <w:bottom w:val="none" w:sz="0" w:space="0" w:color="auto"/>
                                <w:right w:val="none" w:sz="0" w:space="0" w:color="auto"/>
                              </w:divBdr>
                              <w:divsChild>
                                <w:div w:id="898830418">
                                  <w:marLeft w:val="0"/>
                                  <w:marRight w:val="0"/>
                                  <w:marTop w:val="0"/>
                                  <w:marBottom w:val="0"/>
                                  <w:divBdr>
                                    <w:top w:val="none" w:sz="0" w:space="0" w:color="auto"/>
                                    <w:left w:val="none" w:sz="0" w:space="0" w:color="auto"/>
                                    <w:bottom w:val="none" w:sz="0" w:space="0" w:color="auto"/>
                                    <w:right w:val="none" w:sz="0" w:space="0" w:color="auto"/>
                                  </w:divBdr>
                                  <w:divsChild>
                                    <w:div w:id="410809537">
                                      <w:marLeft w:val="0"/>
                                      <w:marRight w:val="0"/>
                                      <w:marTop w:val="0"/>
                                      <w:marBottom w:val="0"/>
                                      <w:divBdr>
                                        <w:top w:val="none" w:sz="0" w:space="0" w:color="auto"/>
                                        <w:left w:val="none" w:sz="0" w:space="0" w:color="auto"/>
                                        <w:bottom w:val="none" w:sz="0" w:space="0" w:color="auto"/>
                                        <w:right w:val="none" w:sz="0" w:space="0" w:color="auto"/>
                                      </w:divBdr>
                                      <w:divsChild>
                                        <w:div w:id="127087190">
                                          <w:marLeft w:val="0"/>
                                          <w:marRight w:val="0"/>
                                          <w:marTop w:val="0"/>
                                          <w:marBottom w:val="0"/>
                                          <w:divBdr>
                                            <w:top w:val="none" w:sz="0" w:space="0" w:color="auto"/>
                                            <w:left w:val="none" w:sz="0" w:space="0" w:color="auto"/>
                                            <w:bottom w:val="none" w:sz="0" w:space="0" w:color="auto"/>
                                            <w:right w:val="none" w:sz="0" w:space="0" w:color="auto"/>
                                          </w:divBdr>
                                          <w:divsChild>
                                            <w:div w:id="723673649">
                                              <w:marLeft w:val="0"/>
                                              <w:marRight w:val="0"/>
                                              <w:marTop w:val="0"/>
                                              <w:marBottom w:val="0"/>
                                              <w:divBdr>
                                                <w:top w:val="none" w:sz="0" w:space="0" w:color="auto"/>
                                                <w:left w:val="none" w:sz="0" w:space="0" w:color="auto"/>
                                                <w:bottom w:val="none" w:sz="0" w:space="0" w:color="auto"/>
                                                <w:right w:val="none" w:sz="0" w:space="0" w:color="auto"/>
                                              </w:divBdr>
                                              <w:divsChild>
                                                <w:div w:id="1081827372">
                                                  <w:marLeft w:val="0"/>
                                                  <w:marRight w:val="0"/>
                                                  <w:marTop w:val="0"/>
                                                  <w:marBottom w:val="0"/>
                                                  <w:divBdr>
                                                    <w:top w:val="none" w:sz="0" w:space="0" w:color="auto"/>
                                                    <w:left w:val="none" w:sz="0" w:space="0" w:color="auto"/>
                                                    <w:bottom w:val="none" w:sz="0" w:space="0" w:color="auto"/>
                                                    <w:right w:val="none" w:sz="0" w:space="0" w:color="auto"/>
                                                  </w:divBdr>
                                                  <w:divsChild>
                                                    <w:div w:id="1262836063">
                                                      <w:marLeft w:val="0"/>
                                                      <w:marRight w:val="0"/>
                                                      <w:marTop w:val="0"/>
                                                      <w:marBottom w:val="0"/>
                                                      <w:divBdr>
                                                        <w:top w:val="none" w:sz="0" w:space="0" w:color="auto"/>
                                                        <w:left w:val="none" w:sz="0" w:space="0" w:color="auto"/>
                                                        <w:bottom w:val="none" w:sz="0" w:space="0" w:color="auto"/>
                                                        <w:right w:val="none" w:sz="0" w:space="0" w:color="auto"/>
                                                      </w:divBdr>
                                                      <w:divsChild>
                                                        <w:div w:id="72437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75664416">
      <w:bodyDiv w:val="1"/>
      <w:marLeft w:val="0"/>
      <w:marRight w:val="0"/>
      <w:marTop w:val="0"/>
      <w:marBottom w:val="0"/>
      <w:divBdr>
        <w:top w:val="none" w:sz="0" w:space="0" w:color="auto"/>
        <w:left w:val="none" w:sz="0" w:space="0" w:color="auto"/>
        <w:bottom w:val="none" w:sz="0" w:space="0" w:color="auto"/>
        <w:right w:val="none" w:sz="0" w:space="0" w:color="auto"/>
      </w:divBdr>
    </w:div>
    <w:div w:id="1845707601">
      <w:bodyDiv w:val="1"/>
      <w:marLeft w:val="0"/>
      <w:marRight w:val="0"/>
      <w:marTop w:val="0"/>
      <w:marBottom w:val="0"/>
      <w:divBdr>
        <w:top w:val="none" w:sz="0" w:space="0" w:color="auto"/>
        <w:left w:val="none" w:sz="0" w:space="0" w:color="auto"/>
        <w:bottom w:val="none" w:sz="0" w:space="0" w:color="auto"/>
        <w:right w:val="none" w:sz="0" w:space="0" w:color="auto"/>
      </w:divBdr>
    </w:div>
    <w:div w:id="1912032978">
      <w:bodyDiv w:val="1"/>
      <w:marLeft w:val="0"/>
      <w:marRight w:val="0"/>
      <w:marTop w:val="0"/>
      <w:marBottom w:val="0"/>
      <w:divBdr>
        <w:top w:val="none" w:sz="0" w:space="0" w:color="auto"/>
        <w:left w:val="none" w:sz="0" w:space="0" w:color="auto"/>
        <w:bottom w:val="none" w:sz="0" w:space="0" w:color="auto"/>
        <w:right w:val="none" w:sz="0" w:space="0" w:color="auto"/>
      </w:divBdr>
    </w:div>
    <w:div w:id="1919824679">
      <w:bodyDiv w:val="1"/>
      <w:marLeft w:val="0"/>
      <w:marRight w:val="0"/>
      <w:marTop w:val="0"/>
      <w:marBottom w:val="0"/>
      <w:divBdr>
        <w:top w:val="none" w:sz="0" w:space="0" w:color="auto"/>
        <w:left w:val="none" w:sz="0" w:space="0" w:color="auto"/>
        <w:bottom w:val="none" w:sz="0" w:space="0" w:color="auto"/>
        <w:right w:val="none" w:sz="0" w:space="0" w:color="auto"/>
      </w:divBdr>
    </w:div>
    <w:div w:id="2008091239">
      <w:bodyDiv w:val="1"/>
      <w:marLeft w:val="0"/>
      <w:marRight w:val="0"/>
      <w:marTop w:val="0"/>
      <w:marBottom w:val="0"/>
      <w:divBdr>
        <w:top w:val="none" w:sz="0" w:space="0" w:color="auto"/>
        <w:left w:val="none" w:sz="0" w:space="0" w:color="auto"/>
        <w:bottom w:val="none" w:sz="0" w:space="0" w:color="auto"/>
        <w:right w:val="none" w:sz="0" w:space="0" w:color="auto"/>
      </w:divBdr>
    </w:div>
    <w:div w:id="2034265818">
      <w:bodyDiv w:val="1"/>
      <w:marLeft w:val="0"/>
      <w:marRight w:val="0"/>
      <w:marTop w:val="0"/>
      <w:marBottom w:val="0"/>
      <w:divBdr>
        <w:top w:val="none" w:sz="0" w:space="0" w:color="auto"/>
        <w:left w:val="none" w:sz="0" w:space="0" w:color="auto"/>
        <w:bottom w:val="none" w:sz="0" w:space="0" w:color="auto"/>
        <w:right w:val="none" w:sz="0" w:space="0" w:color="auto"/>
      </w:divBdr>
    </w:div>
    <w:div w:id="2121141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www.legislation.gov.au/C2004A01224/" TargetMode="External"/><Relationship Id="rId21" Type="http://schemas.openxmlformats.org/officeDocument/2006/relationships/hyperlink" Target="https://www.legislation.gov.au/C1903A00018/latest/text" TargetMode="External"/><Relationship Id="rId324" Type="http://schemas.openxmlformats.org/officeDocument/2006/relationships/header" Target="header5.xml"/><Relationship Id="rId531" Type="http://schemas.openxmlformats.org/officeDocument/2006/relationships/hyperlink" Target="https://www.legislation.gov.au/C2004A01224/latest/text" TargetMode="External"/><Relationship Id="rId629" Type="http://schemas.openxmlformats.org/officeDocument/2006/relationships/hyperlink" Target="mailto:lodge@legislation.gov.au" TargetMode="External"/><Relationship Id="rId170" Type="http://schemas.openxmlformats.org/officeDocument/2006/relationships/hyperlink" Target="https://www.legislation.gov.au/C2004A01224/" TargetMode="External"/><Relationship Id="rId268" Type="http://schemas.openxmlformats.org/officeDocument/2006/relationships/hyperlink" Target="https://www.legislation.gov.au/F2026L00129/latest/text" TargetMode="External"/><Relationship Id="rId475" Type="http://schemas.openxmlformats.org/officeDocument/2006/relationships/hyperlink" Target="mailto:adminlaw@ag.gov.au" TargetMode="External"/><Relationship Id="rId32" Type="http://schemas.openxmlformats.org/officeDocument/2006/relationships/header" Target="header1.xml"/><Relationship Id="rId128" Type="http://schemas.openxmlformats.org/officeDocument/2006/relationships/hyperlink" Target="https://www.opc.gov.au/" TargetMode="External"/><Relationship Id="rId335" Type="http://schemas.openxmlformats.org/officeDocument/2006/relationships/hyperlink" Target="https://www.legislation.gov.au/C2004A01224/" TargetMode="External"/><Relationship Id="rId542" Type="http://schemas.openxmlformats.org/officeDocument/2006/relationships/hyperlink" Target="mailto:adminlaw@ag.gov.au" TargetMode="External"/><Relationship Id="rId181" Type="http://schemas.openxmlformats.org/officeDocument/2006/relationships/hyperlink" Target="https://www.opc.gov.au/publications/amending-forms-manual" TargetMode="External"/><Relationship Id="rId402" Type="http://schemas.openxmlformats.org/officeDocument/2006/relationships/hyperlink" Target="https://www.legislation.gov.au/C2004A01224/latest/text" TargetMode="External"/><Relationship Id="rId279" Type="http://schemas.openxmlformats.org/officeDocument/2006/relationships/hyperlink" Target="https://www.legislation.gov.au/C2004A01224/" TargetMode="External"/><Relationship Id="rId486" Type="http://schemas.openxmlformats.org/officeDocument/2006/relationships/hyperlink" Target="https://www.legislation.gov.au/latest/C2016C00186" TargetMode="External"/><Relationship Id="rId43" Type="http://schemas.openxmlformats.org/officeDocument/2006/relationships/hyperlink" Target="https://www.legislation.gov.au/C2004A01224/" TargetMode="External"/><Relationship Id="rId139" Type="http://schemas.openxmlformats.org/officeDocument/2006/relationships/hyperlink" Target="https://www.legislation.gov.au/C2004A01224/" TargetMode="External"/><Relationship Id="rId346" Type="http://schemas.openxmlformats.org/officeDocument/2006/relationships/hyperlink" Target="http://www.comlaw.gov.au/Current/C2004A01224" TargetMode="External"/><Relationship Id="rId553" Type="http://schemas.openxmlformats.org/officeDocument/2006/relationships/hyperlink" Target="mailto:sunsetting@ag.gov.au" TargetMode="External"/><Relationship Id="rId192" Type="http://schemas.openxmlformats.org/officeDocument/2006/relationships/hyperlink" Target="https://www.legislation.gov.au/C2004A01224/" TargetMode="External"/><Relationship Id="rId206" Type="http://schemas.openxmlformats.org/officeDocument/2006/relationships/hyperlink" Target="https://www.legislation.gov.au/C2004A03712/latest/text" TargetMode="External"/><Relationship Id="rId413" Type="http://schemas.openxmlformats.org/officeDocument/2006/relationships/hyperlink" Target="https://www.legislation.gov.au/latest/C2016C00186" TargetMode="External"/><Relationship Id="rId497" Type="http://schemas.openxmlformats.org/officeDocument/2006/relationships/hyperlink" Target="http://www.comlaw.gov.au/Current/C2013C00032" TargetMode="External"/><Relationship Id="rId620" Type="http://schemas.openxmlformats.org/officeDocument/2006/relationships/footer" Target="footer14.xml"/><Relationship Id="rId357" Type="http://schemas.openxmlformats.org/officeDocument/2006/relationships/hyperlink" Target="http://www.comlaw.gov.au/Current/C2013C00032" TargetMode="External"/><Relationship Id="rId54" Type="http://schemas.openxmlformats.org/officeDocument/2006/relationships/hyperlink" Target="https://www.legislation.gov.au/latest/F2015L01475" TargetMode="External"/><Relationship Id="rId217" Type="http://schemas.openxmlformats.org/officeDocument/2006/relationships/hyperlink" Target="https://www.legislation.gov.au/C2004A01224/latest/text" TargetMode="External"/><Relationship Id="rId564" Type="http://schemas.openxmlformats.org/officeDocument/2006/relationships/hyperlink" Target="https://www.legislation.gov.au/latest/C2016C00186" TargetMode="External"/><Relationship Id="rId424" Type="http://schemas.openxmlformats.org/officeDocument/2006/relationships/hyperlink" Target="http://www.comlaw.gov.au/Current/C2013C00032" TargetMode="External"/><Relationship Id="rId631" Type="http://schemas.openxmlformats.org/officeDocument/2006/relationships/hyperlink" Target="mailto:table.legislation.sen@aph.gov.au" TargetMode="External"/><Relationship Id="rId270" Type="http://schemas.openxmlformats.org/officeDocument/2006/relationships/hyperlink" Target="mailto:lodge@legislation.gov.au" TargetMode="External"/><Relationship Id="rId65" Type="http://schemas.openxmlformats.org/officeDocument/2006/relationships/hyperlink" Target="https://www.legislation.gov.au/C2004A01224/" TargetMode="External"/><Relationship Id="rId130" Type="http://schemas.openxmlformats.org/officeDocument/2006/relationships/hyperlink" Target="https://www.legislation.gov.au/C1901A00002/latest/text" TargetMode="External"/><Relationship Id="rId368" Type="http://schemas.openxmlformats.org/officeDocument/2006/relationships/hyperlink" Target="https://www.legislation.gov.au/C2011A00186/latest/text" TargetMode="External"/><Relationship Id="rId575" Type="http://schemas.openxmlformats.org/officeDocument/2006/relationships/hyperlink" Target="https://www.legislation.gov.au/C2004A01224/" TargetMode="External"/><Relationship Id="rId228" Type="http://schemas.openxmlformats.org/officeDocument/2006/relationships/hyperlink" Target="https://www.legislation.gov.au/C2004A01224/" TargetMode="External"/><Relationship Id="rId435" Type="http://schemas.openxmlformats.org/officeDocument/2006/relationships/hyperlink" Target="http://www.comlaw.gov.au/Current/C2013C00032" TargetMode="External"/><Relationship Id="rId642" Type="http://schemas.openxmlformats.org/officeDocument/2006/relationships/header" Target="header13.xml"/><Relationship Id="rId281" Type="http://schemas.openxmlformats.org/officeDocument/2006/relationships/hyperlink" Target="https://www.legislation.gov.au/C2004A01224/" TargetMode="External"/><Relationship Id="rId502" Type="http://schemas.openxmlformats.org/officeDocument/2006/relationships/hyperlink" Target="http://www.comlaw.gov.au/Current/C2013C00032" TargetMode="External"/><Relationship Id="rId76" Type="http://schemas.openxmlformats.org/officeDocument/2006/relationships/hyperlink" Target="https://www.comlaw.gov.au/Current/F2015L01475/" TargetMode="External"/><Relationship Id="rId141" Type="http://schemas.openxmlformats.org/officeDocument/2006/relationships/hyperlink" Target="https://www.opc.gov.au/drafting-resources/drafting-directions" TargetMode="External"/><Relationship Id="rId379" Type="http://schemas.openxmlformats.org/officeDocument/2006/relationships/hyperlink" Target="https://www.legislation.gov.au/C2004A01224/latest/text" TargetMode="External"/><Relationship Id="rId586" Type="http://schemas.openxmlformats.org/officeDocument/2006/relationships/hyperlink" Target="https://www.legislation.gov.au/latest/C2016C00186" TargetMode="External"/><Relationship Id="rId7" Type="http://schemas.openxmlformats.org/officeDocument/2006/relationships/endnotes" Target="endnotes.xml"/><Relationship Id="rId239" Type="http://schemas.openxmlformats.org/officeDocument/2006/relationships/hyperlink" Target="https://www.legislation.gov.au/F2026L00129/latest/text" TargetMode="External"/><Relationship Id="rId446" Type="http://schemas.openxmlformats.org/officeDocument/2006/relationships/hyperlink" Target="https://www.legislation.gov.au/C2004A01224/" TargetMode="External"/><Relationship Id="rId653" Type="http://schemas.openxmlformats.org/officeDocument/2006/relationships/theme" Target="theme/theme1.xml"/><Relationship Id="rId292" Type="http://schemas.openxmlformats.org/officeDocument/2006/relationships/hyperlink" Target="https://www.legislation.gov.au/C2004A01224/" TargetMode="External"/><Relationship Id="rId306" Type="http://schemas.openxmlformats.org/officeDocument/2006/relationships/hyperlink" Target="https://www.legislation.gov.au/F2026L00129/latest/text" TargetMode="External"/><Relationship Id="rId87" Type="http://schemas.openxmlformats.org/officeDocument/2006/relationships/hyperlink" Target="https://www.legislation.gov.au/latest/F2015L01475" TargetMode="External"/><Relationship Id="rId513" Type="http://schemas.openxmlformats.org/officeDocument/2006/relationships/hyperlink" Target="http://www.comlaw.gov.au/Current/C2013C00032" TargetMode="External"/><Relationship Id="rId597" Type="http://schemas.openxmlformats.org/officeDocument/2006/relationships/footer" Target="footer12.xml"/><Relationship Id="rId152" Type="http://schemas.openxmlformats.org/officeDocument/2006/relationships/hyperlink" Target="https://www.legislation.gov.au/C2004A01224/" TargetMode="External"/><Relationship Id="rId457" Type="http://schemas.openxmlformats.org/officeDocument/2006/relationships/hyperlink" Target="http://www.comlaw.gov.au/Current/C2013C00032" TargetMode="External"/><Relationship Id="rId14" Type="http://schemas.openxmlformats.org/officeDocument/2006/relationships/hyperlink" Target="https://www.legislation.gov.au/F2026L00129/latest/text" TargetMode="External"/><Relationship Id="rId317" Type="http://schemas.openxmlformats.org/officeDocument/2006/relationships/hyperlink" Target="https://www.legislation.gov.au/C2004A01224/" TargetMode="External"/><Relationship Id="rId524" Type="http://schemas.openxmlformats.org/officeDocument/2006/relationships/hyperlink" Target="https://www.legislation.gov.au/C2004A01224/" TargetMode="External"/><Relationship Id="rId98" Type="http://schemas.openxmlformats.org/officeDocument/2006/relationships/hyperlink" Target="https://www.legislation.gov.au/C2004A01224/" TargetMode="External"/><Relationship Id="rId163" Type="http://schemas.openxmlformats.org/officeDocument/2006/relationships/hyperlink" Target="https://www.legislation.gov.au/C2004A01224/" TargetMode="External"/><Relationship Id="rId370" Type="http://schemas.openxmlformats.org/officeDocument/2006/relationships/hyperlink" Target="https://www.aph.gov.au/Parliamentary_Business/Committees/Senate/Scrutiny_of_Delegated_Legislation/Committee_guidelines" TargetMode="External"/><Relationship Id="rId230" Type="http://schemas.openxmlformats.org/officeDocument/2006/relationships/hyperlink" Target="https://www.naa.gov.au/information-management/records-authorities/types-records-authorities/general-records-authority-31" TargetMode="External"/><Relationship Id="rId468" Type="http://schemas.openxmlformats.org/officeDocument/2006/relationships/hyperlink" Target="https://www.comlaw.gov.au/Current/F2015L01475" TargetMode="External"/><Relationship Id="rId25" Type="http://schemas.openxmlformats.org/officeDocument/2006/relationships/hyperlink" Target="https://www.legislation.gov.au/C2004A01224/" TargetMode="External"/><Relationship Id="rId328" Type="http://schemas.openxmlformats.org/officeDocument/2006/relationships/hyperlink" Target="https://www.legislation.gov.au/C2004A01224/" TargetMode="External"/><Relationship Id="rId535" Type="http://schemas.openxmlformats.org/officeDocument/2006/relationships/hyperlink" Target="https://www.legislation.gov.au/C2004A01224/" TargetMode="External"/><Relationship Id="rId174" Type="http://schemas.openxmlformats.org/officeDocument/2006/relationships/hyperlink" Target="https://www.legislation.gov.au/C1901A00002/latest/text" TargetMode="External"/><Relationship Id="rId381" Type="http://schemas.openxmlformats.org/officeDocument/2006/relationships/hyperlink" Target="https://www.legislation.gov.au/latest/C2016C00186" TargetMode="External"/><Relationship Id="rId602" Type="http://schemas.openxmlformats.org/officeDocument/2006/relationships/hyperlink" Target="https://www.legislation.gov.au/C2004A01224/" TargetMode="External"/><Relationship Id="rId241" Type="http://schemas.openxmlformats.org/officeDocument/2006/relationships/hyperlink" Target="https://www.legislation.gov.au/F2026L00129/latest/text" TargetMode="External"/><Relationship Id="rId479" Type="http://schemas.openxmlformats.org/officeDocument/2006/relationships/hyperlink" Target="https://www.legislation.gov.au/latest/C2016C00186" TargetMode="External"/><Relationship Id="rId36" Type="http://schemas.openxmlformats.org/officeDocument/2006/relationships/hyperlink" Target="https://www.legislation.gov.au/C2004A01224/" TargetMode="External"/><Relationship Id="rId339" Type="http://schemas.openxmlformats.org/officeDocument/2006/relationships/header" Target="header6.xml"/><Relationship Id="rId546" Type="http://schemas.openxmlformats.org/officeDocument/2006/relationships/hyperlink" Target="https://www.legislation.gov.au/C2004A01224/latest/text" TargetMode="External"/><Relationship Id="rId101" Type="http://schemas.openxmlformats.org/officeDocument/2006/relationships/hyperlink" Target="https://www.legislation.gov.au/C2004A01224/" TargetMode="External"/><Relationship Id="rId185" Type="http://schemas.openxmlformats.org/officeDocument/2006/relationships/hyperlink" Target="https://www.legislation.gov.au/latest/C2016C00151" TargetMode="External"/><Relationship Id="rId406" Type="http://schemas.openxmlformats.org/officeDocument/2006/relationships/hyperlink" Target="http://www.comlaw.gov.au/Current/C2013C00032" TargetMode="External"/><Relationship Id="rId392" Type="http://schemas.openxmlformats.org/officeDocument/2006/relationships/hyperlink" Target="http://www.comlaw.gov.au/Current/C2013C00032" TargetMode="External"/><Relationship Id="rId613" Type="http://schemas.openxmlformats.org/officeDocument/2006/relationships/hyperlink" Target="https://www.opc.gov.au/drafting-resources/client-advisers" TargetMode="External"/><Relationship Id="rId252" Type="http://schemas.openxmlformats.org/officeDocument/2006/relationships/hyperlink" Target="mailto:lodge@legislation.gov.au" TargetMode="External"/><Relationship Id="rId47" Type="http://schemas.openxmlformats.org/officeDocument/2006/relationships/hyperlink" Target="https://www.legislation.gov.au/C2004A01224/" TargetMode="External"/><Relationship Id="rId112" Type="http://schemas.openxmlformats.org/officeDocument/2006/relationships/hyperlink" Target="https://www.legislation.gov.au/F2015L01475/latest/text" TargetMode="External"/><Relationship Id="rId557" Type="http://schemas.openxmlformats.org/officeDocument/2006/relationships/hyperlink" Target="https://www.legislation.gov.au/C2004A01224/latest/text" TargetMode="External"/><Relationship Id="rId196" Type="http://schemas.openxmlformats.org/officeDocument/2006/relationships/hyperlink" Target="https://www.legislation.gov.au/latest/C2016C00151" TargetMode="External"/><Relationship Id="rId417" Type="http://schemas.openxmlformats.org/officeDocument/2006/relationships/hyperlink" Target="https://www.legislation.gov.au/C2004A01224/latest/text" TargetMode="External"/><Relationship Id="rId624" Type="http://schemas.openxmlformats.org/officeDocument/2006/relationships/hyperlink" Target="https://www.opc.gov.au/drafting-resources/client-advisers" TargetMode="External"/><Relationship Id="rId263" Type="http://schemas.openxmlformats.org/officeDocument/2006/relationships/hyperlink" Target="mailto:lodge@legislation.gov.au" TargetMode="External"/><Relationship Id="rId470" Type="http://schemas.openxmlformats.org/officeDocument/2006/relationships/hyperlink" Target="https://www.legislation.gov.au/latest/F2015L01475" TargetMode="External"/><Relationship Id="rId58" Type="http://schemas.openxmlformats.org/officeDocument/2006/relationships/hyperlink" Target="https://www.legislation.gov.au/C2004A01224/" TargetMode="External"/><Relationship Id="rId123" Type="http://schemas.openxmlformats.org/officeDocument/2006/relationships/hyperlink" Target="https://www.legislation.gov.au/C2004A01224/" TargetMode="External"/><Relationship Id="rId330" Type="http://schemas.openxmlformats.org/officeDocument/2006/relationships/hyperlink" Target="https://www.legislation.gov.au/C2004A01224/" TargetMode="External"/><Relationship Id="rId568" Type="http://schemas.openxmlformats.org/officeDocument/2006/relationships/hyperlink" Target="https://www.legislation.gov.au/latest/C2016C00186" TargetMode="External"/><Relationship Id="rId165" Type="http://schemas.openxmlformats.org/officeDocument/2006/relationships/hyperlink" Target="https://www.legislation.gov.au/C1901A00002/latest/text" TargetMode="External"/><Relationship Id="rId372" Type="http://schemas.openxmlformats.org/officeDocument/2006/relationships/hyperlink" Target="http://www.comlaw.gov.au/Current/C2013C00032" TargetMode="External"/><Relationship Id="rId428" Type="http://schemas.openxmlformats.org/officeDocument/2006/relationships/hyperlink" Target="https://www.legislation.gov.au/latest/C2016C00186" TargetMode="External"/><Relationship Id="rId635" Type="http://schemas.openxmlformats.org/officeDocument/2006/relationships/hyperlink" Target="mailto:CriminalLaw@ag.gov.au" TargetMode="External"/><Relationship Id="rId232" Type="http://schemas.openxmlformats.org/officeDocument/2006/relationships/hyperlink" Target="https://www.legislation.gov.au/F2026L00129/latest/text" TargetMode="External"/><Relationship Id="rId274" Type="http://schemas.openxmlformats.org/officeDocument/2006/relationships/hyperlink" Target="mailto:lodge@legislation.gov.au" TargetMode="External"/><Relationship Id="rId481" Type="http://schemas.openxmlformats.org/officeDocument/2006/relationships/hyperlink" Target="http://www.comlaw.gov.au/Current/C2013C00032" TargetMode="External"/><Relationship Id="rId27" Type="http://schemas.openxmlformats.org/officeDocument/2006/relationships/hyperlink" Target="https://www.legislation.gov.au/C2004A01224/" TargetMode="External"/><Relationship Id="rId69" Type="http://schemas.openxmlformats.org/officeDocument/2006/relationships/hyperlink" Target="https://www.legislation.gov.au/C2004A01224/" TargetMode="External"/><Relationship Id="rId134" Type="http://schemas.openxmlformats.org/officeDocument/2006/relationships/hyperlink" Target="https://www.legislation.gov.au/C2004A01224/" TargetMode="External"/><Relationship Id="rId537" Type="http://schemas.openxmlformats.org/officeDocument/2006/relationships/hyperlink" Target="http://www.comlaw.gov.au/Current/C2013C00032" TargetMode="External"/><Relationship Id="rId579" Type="http://schemas.openxmlformats.org/officeDocument/2006/relationships/hyperlink" Target="https://www.legislation.gov.au/C2004A01224/latest/text" TargetMode="External"/><Relationship Id="rId80" Type="http://schemas.openxmlformats.org/officeDocument/2006/relationships/hyperlink" Target="https://www.legislation.gov.au/F2015L01475/latest/text" TargetMode="External"/><Relationship Id="rId176" Type="http://schemas.openxmlformats.org/officeDocument/2006/relationships/hyperlink" Target="https://www.legislation.gov.au/C2004A01224/" TargetMode="External"/><Relationship Id="rId341" Type="http://schemas.openxmlformats.org/officeDocument/2006/relationships/hyperlink" Target="https://www.legislation.gov.au/C1901A00002/latest/text" TargetMode="External"/><Relationship Id="rId383" Type="http://schemas.openxmlformats.org/officeDocument/2006/relationships/hyperlink" Target="https://www.legislation.gov.au/C2004A01224/latest/text" TargetMode="External"/><Relationship Id="rId439" Type="http://schemas.openxmlformats.org/officeDocument/2006/relationships/hyperlink" Target="https://www.legislation.gov.au/latest/C2016C00186" TargetMode="External"/><Relationship Id="rId590" Type="http://schemas.openxmlformats.org/officeDocument/2006/relationships/hyperlink" Target="mailto:sunsetting@ag.gov.au" TargetMode="External"/><Relationship Id="rId604" Type="http://schemas.openxmlformats.org/officeDocument/2006/relationships/hyperlink" Target="https://www.legislation.gov.au/F2026L00129/latest/text" TargetMode="External"/><Relationship Id="rId646" Type="http://schemas.openxmlformats.org/officeDocument/2006/relationships/hyperlink" Target="https://www.legislation.gov.au/F2015L01475/latest/text" TargetMode="External"/><Relationship Id="rId201" Type="http://schemas.openxmlformats.org/officeDocument/2006/relationships/hyperlink" Target="mailto:CriminalLaw@ag.gov.au" TargetMode="External"/><Relationship Id="rId243" Type="http://schemas.openxmlformats.org/officeDocument/2006/relationships/hyperlink" Target="https://www.legislation.gov.au/F2026L00129/latest/text" TargetMode="External"/><Relationship Id="rId285" Type="http://schemas.openxmlformats.org/officeDocument/2006/relationships/hyperlink" Target="https://www.legislation.gov.au/C2004A01224/" TargetMode="External"/><Relationship Id="rId450" Type="http://schemas.openxmlformats.org/officeDocument/2006/relationships/hyperlink" Target="http://www.comlaw.gov.au/Current/C2013C00032" TargetMode="External"/><Relationship Id="rId506" Type="http://schemas.openxmlformats.org/officeDocument/2006/relationships/hyperlink" Target="https://www.legislation.gov.au/latest/C2016C00186" TargetMode="External"/><Relationship Id="rId38" Type="http://schemas.openxmlformats.org/officeDocument/2006/relationships/hyperlink" Target="https://www.legislation.gov.au/F2015L01475/latest/text" TargetMode="External"/><Relationship Id="rId103" Type="http://schemas.openxmlformats.org/officeDocument/2006/relationships/hyperlink" Target="https://www.legislation.gov.au/C2004A01224/" TargetMode="External"/><Relationship Id="rId310" Type="http://schemas.openxmlformats.org/officeDocument/2006/relationships/hyperlink" Target="https://www.legislation.gov.au/terms-of-use" TargetMode="External"/><Relationship Id="rId492" Type="http://schemas.openxmlformats.org/officeDocument/2006/relationships/hyperlink" Target="http://www.comlaw.gov.au/Current/C2013C00032" TargetMode="External"/><Relationship Id="rId548" Type="http://schemas.openxmlformats.org/officeDocument/2006/relationships/hyperlink" Target="http://www.comlaw.gov.au/Current/C2013C00032" TargetMode="External"/><Relationship Id="rId91" Type="http://schemas.openxmlformats.org/officeDocument/2006/relationships/hyperlink" Target="https://www.legislation.gov.au/latest/F2015L01475" TargetMode="External"/><Relationship Id="rId145" Type="http://schemas.openxmlformats.org/officeDocument/2006/relationships/hyperlink" Target="https://www.legislation.gov.au/C2004A01224/" TargetMode="External"/><Relationship Id="rId187" Type="http://schemas.openxmlformats.org/officeDocument/2006/relationships/hyperlink" Target="https://www.legislation.gov.au/C2004A01224/" TargetMode="External"/><Relationship Id="rId352" Type="http://schemas.openxmlformats.org/officeDocument/2006/relationships/hyperlink" Target="https://www.legislation.gov.au/C2011A00186/latest/text" TargetMode="External"/><Relationship Id="rId394" Type="http://schemas.openxmlformats.org/officeDocument/2006/relationships/hyperlink" Target="https://www.legislation.gov.au/C2011A00186/latest/text" TargetMode="External"/><Relationship Id="rId408" Type="http://schemas.openxmlformats.org/officeDocument/2006/relationships/header" Target="header7.xml"/><Relationship Id="rId615" Type="http://schemas.openxmlformats.org/officeDocument/2006/relationships/hyperlink" Target="https://www.opc.gov.au/drafting-resources/drafting-general" TargetMode="External"/><Relationship Id="rId212" Type="http://schemas.openxmlformats.org/officeDocument/2006/relationships/hyperlink" Target="https://www.legislation.gov.au/C2004A04426/latest/text" TargetMode="External"/><Relationship Id="rId254" Type="http://schemas.openxmlformats.org/officeDocument/2006/relationships/hyperlink" Target="https://www.legislation.gov.au/C2004A01224/" TargetMode="External"/><Relationship Id="rId49" Type="http://schemas.openxmlformats.org/officeDocument/2006/relationships/hyperlink" Target="https://www.legislation.gov.au/C2004A01224/" TargetMode="External"/><Relationship Id="rId114" Type="http://schemas.openxmlformats.org/officeDocument/2006/relationships/hyperlink" Target="https://www.legislation.gov.au/F2015L01475/latest/text" TargetMode="External"/><Relationship Id="rId296" Type="http://schemas.openxmlformats.org/officeDocument/2006/relationships/hyperlink" Target="https://www.legislation.gov.au/C2004A01224/" TargetMode="External"/><Relationship Id="rId461" Type="http://schemas.openxmlformats.org/officeDocument/2006/relationships/hyperlink" Target="http://www.comlaw.gov.au/Current/C2013C00032" TargetMode="External"/><Relationship Id="rId517" Type="http://schemas.openxmlformats.org/officeDocument/2006/relationships/hyperlink" Target="https://www.legislation.gov.au/latest/C2016C00186" TargetMode="External"/><Relationship Id="rId559" Type="http://schemas.openxmlformats.org/officeDocument/2006/relationships/hyperlink" Target="http://www.comlaw.gov.au/Current/C2013C00032" TargetMode="External"/><Relationship Id="rId60" Type="http://schemas.openxmlformats.org/officeDocument/2006/relationships/hyperlink" Target="https://www.legislation.gov.au/C2004A01224/" TargetMode="External"/><Relationship Id="rId156" Type="http://schemas.openxmlformats.org/officeDocument/2006/relationships/hyperlink" Target="https://www.legislation.gov.au/latest/F2015L01475" TargetMode="External"/><Relationship Id="rId198" Type="http://schemas.openxmlformats.org/officeDocument/2006/relationships/hyperlink" Target="https://www.legislation.gov.au/F2015L01475/latest/text" TargetMode="External"/><Relationship Id="rId321" Type="http://schemas.openxmlformats.org/officeDocument/2006/relationships/hyperlink" Target="https://www.legislation.gov.au/C2004A01224/" TargetMode="External"/><Relationship Id="rId363" Type="http://schemas.openxmlformats.org/officeDocument/2006/relationships/hyperlink" Target="http://www.comlaw.gov.au/Current/C2013C00032" TargetMode="External"/><Relationship Id="rId419" Type="http://schemas.openxmlformats.org/officeDocument/2006/relationships/hyperlink" Target="https://www.legislation.gov.au/latest/C2016C00186" TargetMode="External"/><Relationship Id="rId570" Type="http://schemas.openxmlformats.org/officeDocument/2006/relationships/hyperlink" Target="https://www.legislation.gov.au/C2004A01224/latest/text" TargetMode="External"/><Relationship Id="rId626" Type="http://schemas.openxmlformats.org/officeDocument/2006/relationships/hyperlink" Target="mailto:lodge@legislation.gov.au" TargetMode="External"/><Relationship Id="rId223" Type="http://schemas.openxmlformats.org/officeDocument/2006/relationships/footer" Target="footer6.xml"/><Relationship Id="rId430" Type="http://schemas.openxmlformats.org/officeDocument/2006/relationships/hyperlink" Target="http://www.comlaw.gov.au/Current/C2013C00032" TargetMode="External"/><Relationship Id="rId18" Type="http://schemas.openxmlformats.org/officeDocument/2006/relationships/footer" Target="footer2.xml"/><Relationship Id="rId265" Type="http://schemas.openxmlformats.org/officeDocument/2006/relationships/hyperlink" Target="https://www.legislation.gov.au/C2004A01224/latest/text" TargetMode="External"/><Relationship Id="rId472" Type="http://schemas.openxmlformats.org/officeDocument/2006/relationships/hyperlink" Target="http://www.comlaw.gov.au/Current/C2013C00032" TargetMode="External"/><Relationship Id="rId528" Type="http://schemas.openxmlformats.org/officeDocument/2006/relationships/hyperlink" Target="http://www.comlaw.gov.au/Current/C2013C00032" TargetMode="External"/><Relationship Id="rId125" Type="http://schemas.openxmlformats.org/officeDocument/2006/relationships/hyperlink" Target="https://www.opc.gov.au/" TargetMode="External"/><Relationship Id="rId167" Type="http://schemas.openxmlformats.org/officeDocument/2006/relationships/hyperlink" Target="https://www.legislation.gov.au/C2004A01224/" TargetMode="External"/><Relationship Id="rId332" Type="http://schemas.openxmlformats.org/officeDocument/2006/relationships/hyperlink" Target="https://www.legislation.gov.au/C2004A01224/" TargetMode="External"/><Relationship Id="rId374" Type="http://schemas.openxmlformats.org/officeDocument/2006/relationships/hyperlink" Target="https://www.legislation.gov.au/latest/C2016C00186" TargetMode="External"/><Relationship Id="rId581" Type="http://schemas.openxmlformats.org/officeDocument/2006/relationships/hyperlink" Target="https://www.legislation.gov.au/latest/C2016C00186" TargetMode="External"/><Relationship Id="rId71" Type="http://schemas.openxmlformats.org/officeDocument/2006/relationships/hyperlink" Target="https://www.legislation.gov.au/C2004A01224/" TargetMode="External"/><Relationship Id="rId234" Type="http://schemas.openxmlformats.org/officeDocument/2006/relationships/hyperlink" Target="mailto:lodge@legislation.gov.au" TargetMode="External"/><Relationship Id="rId637" Type="http://schemas.openxmlformats.org/officeDocument/2006/relationships/hyperlink" Target="mailto:exco@pmc.gov.au" TargetMode="External"/><Relationship Id="rId2" Type="http://schemas.openxmlformats.org/officeDocument/2006/relationships/numbering" Target="numbering.xml"/><Relationship Id="rId29" Type="http://schemas.openxmlformats.org/officeDocument/2006/relationships/hyperlink" Target="https://www.legislation.gov.au/C1901A00002/" TargetMode="External"/><Relationship Id="rId276" Type="http://schemas.openxmlformats.org/officeDocument/2006/relationships/hyperlink" Target="https://www.legislation.gov.au/C2004A01224/" TargetMode="External"/><Relationship Id="rId441" Type="http://schemas.openxmlformats.org/officeDocument/2006/relationships/hyperlink" Target="http://www.comlaw.gov.au/Current/C2013C00032" TargetMode="External"/><Relationship Id="rId483" Type="http://schemas.openxmlformats.org/officeDocument/2006/relationships/hyperlink" Target="https://www.legislation.gov.au/latest/C2016C00186" TargetMode="External"/><Relationship Id="rId539" Type="http://schemas.openxmlformats.org/officeDocument/2006/relationships/hyperlink" Target="https://www.legislation.gov.au/F2015L01475/latest/text" TargetMode="External"/><Relationship Id="rId40" Type="http://schemas.openxmlformats.org/officeDocument/2006/relationships/hyperlink" Target="https://www.legislation.gov.au" TargetMode="External"/><Relationship Id="rId136" Type="http://schemas.openxmlformats.org/officeDocument/2006/relationships/hyperlink" Target="https://www.legislation.gov.au/C2004A01224/" TargetMode="External"/><Relationship Id="rId178" Type="http://schemas.openxmlformats.org/officeDocument/2006/relationships/hyperlink" Target="https://www.legislation.gov.au/C1901A00002/latest/text" TargetMode="External"/><Relationship Id="rId301" Type="http://schemas.openxmlformats.org/officeDocument/2006/relationships/hyperlink" Target="https://www.legislation.gov.au/F2026L00129/latest/text" TargetMode="External"/><Relationship Id="rId343" Type="http://schemas.openxmlformats.org/officeDocument/2006/relationships/hyperlink" Target="https://www.legislation.gov.au/C2004A01224/latest/text" TargetMode="External"/><Relationship Id="rId550" Type="http://schemas.openxmlformats.org/officeDocument/2006/relationships/hyperlink" Target="https://www.legislation.gov.au/C2004A01224/latest/text" TargetMode="External"/><Relationship Id="rId82" Type="http://schemas.openxmlformats.org/officeDocument/2006/relationships/hyperlink" Target="https://www.legislation.gov.au/F2015L01475/latest/text" TargetMode="External"/><Relationship Id="rId203" Type="http://schemas.openxmlformats.org/officeDocument/2006/relationships/hyperlink" Target="https://www.legislation.gov.au/C2004A01224/" TargetMode="External"/><Relationship Id="rId385" Type="http://schemas.openxmlformats.org/officeDocument/2006/relationships/hyperlink" Target="http://www.comlaw.gov.au/Current/C2013C00032" TargetMode="External"/><Relationship Id="rId592" Type="http://schemas.openxmlformats.org/officeDocument/2006/relationships/hyperlink" Target="http://www.comlaw.gov.au/Current/C2013C00032" TargetMode="External"/><Relationship Id="rId606" Type="http://schemas.openxmlformats.org/officeDocument/2006/relationships/hyperlink" Target="https://www.ag.gov.au/legal-system/publications/guide-framing-commonwealth-offences-infringement-notices-and-enforcement-powers" TargetMode="External"/><Relationship Id="rId648" Type="http://schemas.openxmlformats.org/officeDocument/2006/relationships/header" Target="header14.xml"/><Relationship Id="rId245" Type="http://schemas.openxmlformats.org/officeDocument/2006/relationships/hyperlink" Target="https://www.legislation.gov.au/F2026L00129/latest/text" TargetMode="External"/><Relationship Id="rId287" Type="http://schemas.openxmlformats.org/officeDocument/2006/relationships/hyperlink" Target="mailto:lodge@legislation.gov.au" TargetMode="External"/><Relationship Id="rId410" Type="http://schemas.openxmlformats.org/officeDocument/2006/relationships/hyperlink" Target="https://www.legislation.gov.au/C2004A01224/latest/text" TargetMode="External"/><Relationship Id="rId452" Type="http://schemas.openxmlformats.org/officeDocument/2006/relationships/hyperlink" Target="https://www.legislation.gov.au/C2004A01224/latest/text" TargetMode="External"/><Relationship Id="rId494" Type="http://schemas.openxmlformats.org/officeDocument/2006/relationships/hyperlink" Target="https://www.legislation.gov.au/latest/C2016C00186" TargetMode="External"/><Relationship Id="rId508" Type="http://schemas.openxmlformats.org/officeDocument/2006/relationships/hyperlink" Target="http://www.comlaw.gov.au/Current/C2013C00032" TargetMode="External"/><Relationship Id="rId105" Type="http://schemas.openxmlformats.org/officeDocument/2006/relationships/hyperlink" Target="https://www.legislation.gov.au/C2004A01224/" TargetMode="External"/><Relationship Id="rId147" Type="http://schemas.openxmlformats.org/officeDocument/2006/relationships/hyperlink" Target="https://www.legislation.gov.au/C2004A01224/" TargetMode="External"/><Relationship Id="rId312" Type="http://schemas.openxmlformats.org/officeDocument/2006/relationships/hyperlink" Target="mailto:lodge@legislation.gov.au" TargetMode="External"/><Relationship Id="rId354" Type="http://schemas.openxmlformats.org/officeDocument/2006/relationships/hyperlink" Target="https://www.legislation.gov.au/latest/C2016C00186" TargetMode="External"/><Relationship Id="rId51" Type="http://schemas.openxmlformats.org/officeDocument/2006/relationships/hyperlink" Target="https://www.legislation.gov.au/C2004A01224/" TargetMode="External"/><Relationship Id="rId93" Type="http://schemas.openxmlformats.org/officeDocument/2006/relationships/hyperlink" Target="https://www.legislation.gov.au/latest/F2015L01475" TargetMode="External"/><Relationship Id="rId189" Type="http://schemas.openxmlformats.org/officeDocument/2006/relationships/hyperlink" Target="https://www.legislation.gov.au/C2004A01224/" TargetMode="External"/><Relationship Id="rId396" Type="http://schemas.openxmlformats.org/officeDocument/2006/relationships/hyperlink" Target="https://www.legislation.gov.au/C2004A01224/latest/text" TargetMode="External"/><Relationship Id="rId561" Type="http://schemas.openxmlformats.org/officeDocument/2006/relationships/hyperlink" Target="https://www.legislation.gov.au/C2004A01224/latest/text" TargetMode="External"/><Relationship Id="rId617" Type="http://schemas.openxmlformats.org/officeDocument/2006/relationships/hyperlink" Target="https://www.aph.gov.au/Parliamentary_Business/Committees/Joint/Human_Rights/Committee_resources" TargetMode="External"/><Relationship Id="rId214" Type="http://schemas.openxmlformats.org/officeDocument/2006/relationships/hyperlink" Target="https://www.legislation.gov.au/F2026L00129/latest/text" TargetMode="External"/><Relationship Id="rId256" Type="http://schemas.openxmlformats.org/officeDocument/2006/relationships/hyperlink" Target="https://www.legislation.gov.au/C2004A01224/" TargetMode="External"/><Relationship Id="rId298" Type="http://schemas.openxmlformats.org/officeDocument/2006/relationships/hyperlink" Target="https://www.legislation.gov.au/F2026L00129/latest/text" TargetMode="External"/><Relationship Id="rId421" Type="http://schemas.openxmlformats.org/officeDocument/2006/relationships/hyperlink" Target="http://www.comlaw.gov.au/Current/C2013C00032" TargetMode="External"/><Relationship Id="rId463" Type="http://schemas.openxmlformats.org/officeDocument/2006/relationships/hyperlink" Target="https://www.legislation.gov.au/latest/C2016C00186" TargetMode="External"/><Relationship Id="rId519" Type="http://schemas.openxmlformats.org/officeDocument/2006/relationships/hyperlink" Target="http://www.comlaw.gov.au/Current/C2013C00032" TargetMode="External"/><Relationship Id="rId116" Type="http://schemas.openxmlformats.org/officeDocument/2006/relationships/hyperlink" Target="mailto:adminlaw@ag.gov.au" TargetMode="External"/><Relationship Id="rId158" Type="http://schemas.openxmlformats.org/officeDocument/2006/relationships/hyperlink" Target="https://www.legislation.gov.au/C2004A01224/" TargetMode="External"/><Relationship Id="rId323" Type="http://schemas.openxmlformats.org/officeDocument/2006/relationships/hyperlink" Target="https://www.legislation.gov.au/latest/C2016C00151" TargetMode="External"/><Relationship Id="rId530" Type="http://schemas.openxmlformats.org/officeDocument/2006/relationships/hyperlink" Target="mailto:sunsetting@ag.gov.au" TargetMode="External"/><Relationship Id="rId20" Type="http://schemas.openxmlformats.org/officeDocument/2006/relationships/hyperlink" Target="https://www.legislation.gov.au/C2004A01224/" TargetMode="External"/><Relationship Id="rId62" Type="http://schemas.openxmlformats.org/officeDocument/2006/relationships/hyperlink" Target="https://www.legislation.gov.au/C2004A01224/" TargetMode="External"/><Relationship Id="rId365" Type="http://schemas.openxmlformats.org/officeDocument/2006/relationships/hyperlink" Target="https://www.legislation.gov.au/C2004A01224/latest/text" TargetMode="External"/><Relationship Id="rId572" Type="http://schemas.openxmlformats.org/officeDocument/2006/relationships/hyperlink" Target="https://www.legislation.gov.au/C2004A01224/latest/text" TargetMode="External"/><Relationship Id="rId628" Type="http://schemas.openxmlformats.org/officeDocument/2006/relationships/hyperlink" Target="https://lodge.legislation.gov.au" TargetMode="External"/><Relationship Id="rId225" Type="http://schemas.openxmlformats.org/officeDocument/2006/relationships/hyperlink" Target="https://www.opc.gov.au/drafting-resources/instrument-resources" TargetMode="External"/><Relationship Id="rId267" Type="http://schemas.openxmlformats.org/officeDocument/2006/relationships/hyperlink" Target="mailto:lodge@legislation.gov.au" TargetMode="External"/><Relationship Id="rId432" Type="http://schemas.openxmlformats.org/officeDocument/2006/relationships/hyperlink" Target="https://www.legislation.gov.au/C1901A00002/latest/text" TargetMode="External"/><Relationship Id="rId474" Type="http://schemas.openxmlformats.org/officeDocument/2006/relationships/hyperlink" Target="https://www.legislation.gov.au/C2004A01224/" TargetMode="External"/><Relationship Id="rId127" Type="http://schemas.openxmlformats.org/officeDocument/2006/relationships/hyperlink" Target="https://www.opc.gov.au/drafting-resources/instrument-resources" TargetMode="External"/><Relationship Id="rId31" Type="http://schemas.openxmlformats.org/officeDocument/2006/relationships/hyperlink" Target="https://www.legislation.gov.au/C2004A01224/" TargetMode="External"/><Relationship Id="rId73" Type="http://schemas.openxmlformats.org/officeDocument/2006/relationships/hyperlink" Target="https://www.legislation.gov.au/latest/F2015L01475" TargetMode="External"/><Relationship Id="rId169" Type="http://schemas.openxmlformats.org/officeDocument/2006/relationships/hyperlink" Target="https://www.legislation.gov.au/C2004A01224/" TargetMode="External"/><Relationship Id="rId334" Type="http://schemas.openxmlformats.org/officeDocument/2006/relationships/hyperlink" Target="https://www.legislation.gov.au/C2004A01224/" TargetMode="External"/><Relationship Id="rId376" Type="http://schemas.openxmlformats.org/officeDocument/2006/relationships/hyperlink" Target="https://www.legislation.gov.au/C1901A00002/" TargetMode="External"/><Relationship Id="rId541" Type="http://schemas.openxmlformats.org/officeDocument/2006/relationships/hyperlink" Target="https://www.legislation.gov.au/latest/F2015L01475" TargetMode="External"/><Relationship Id="rId583" Type="http://schemas.openxmlformats.org/officeDocument/2006/relationships/hyperlink" Target="https://www.legislation.gov.au/C2004A01224/" TargetMode="External"/><Relationship Id="rId639" Type="http://schemas.openxmlformats.org/officeDocument/2006/relationships/hyperlink" Target="mailto:human.rights@aph.gov.au" TargetMode="External"/><Relationship Id="rId4" Type="http://schemas.openxmlformats.org/officeDocument/2006/relationships/settings" Target="settings.xml"/><Relationship Id="rId180" Type="http://schemas.openxmlformats.org/officeDocument/2006/relationships/hyperlink" Target="https://www.legislation.gov.au/C2004A01224/" TargetMode="External"/><Relationship Id="rId236" Type="http://schemas.openxmlformats.org/officeDocument/2006/relationships/hyperlink" Target="https://www.legislation.gov.au/F2026L00129/latest/text" TargetMode="External"/><Relationship Id="rId278" Type="http://schemas.openxmlformats.org/officeDocument/2006/relationships/hyperlink" Target="https://www.legislation.gov.au/C2004A01224/" TargetMode="External"/><Relationship Id="rId401" Type="http://schemas.openxmlformats.org/officeDocument/2006/relationships/hyperlink" Target="https://www.legislation.gov.au/latest/C2016C00186" TargetMode="External"/><Relationship Id="rId443" Type="http://schemas.openxmlformats.org/officeDocument/2006/relationships/hyperlink" Target="https://www.legislation.gov.au/C2004A01224/latest/text" TargetMode="External"/><Relationship Id="rId650" Type="http://schemas.openxmlformats.org/officeDocument/2006/relationships/header" Target="header15.xml"/><Relationship Id="rId303" Type="http://schemas.openxmlformats.org/officeDocument/2006/relationships/hyperlink" Target="mailto:lodge@legislation.gov.au" TargetMode="External"/><Relationship Id="rId485" Type="http://schemas.openxmlformats.org/officeDocument/2006/relationships/hyperlink" Target="http://www.comlaw.gov.au/Current/C2013C00032" TargetMode="External"/><Relationship Id="rId42" Type="http://schemas.openxmlformats.org/officeDocument/2006/relationships/hyperlink" Target="https://www.legislation.gov.au/C2004A01224/" TargetMode="External"/><Relationship Id="rId84" Type="http://schemas.openxmlformats.org/officeDocument/2006/relationships/hyperlink" Target="https://www.legislation.gov.au/F2015L01475/latest/text" TargetMode="External"/><Relationship Id="rId138" Type="http://schemas.openxmlformats.org/officeDocument/2006/relationships/hyperlink" Target="https://www.legislation.gov.au/C2004A01224/" TargetMode="External"/><Relationship Id="rId345" Type="http://schemas.openxmlformats.org/officeDocument/2006/relationships/hyperlink" Target="https://www.legislation.gov.au/C2004A01224/latest/text" TargetMode="External"/><Relationship Id="rId387" Type="http://schemas.openxmlformats.org/officeDocument/2006/relationships/hyperlink" Target="https://www.legislation.gov.au/C2004A01224/latest/text" TargetMode="External"/><Relationship Id="rId510" Type="http://schemas.openxmlformats.org/officeDocument/2006/relationships/hyperlink" Target="https://www.legislation.gov.au/latest/C2016C00186" TargetMode="External"/><Relationship Id="rId552" Type="http://schemas.openxmlformats.org/officeDocument/2006/relationships/hyperlink" Target="https://www.opc.gov.au/sites/default/files/2024-01/Instrument%20Drafting%20Guidance%20Note%20No.%201.4%20-%20Timeframes%20for%20the%20development%20of%20instruments_0.pdf" TargetMode="External"/><Relationship Id="rId594" Type="http://schemas.openxmlformats.org/officeDocument/2006/relationships/hyperlink" Target="mailto:instrument.instructions@opc.gov.au?subject=Instructions%20on" TargetMode="External"/><Relationship Id="rId608" Type="http://schemas.openxmlformats.org/officeDocument/2006/relationships/hyperlink" Target="https://www.ag.gov.au/legal-system/administrative-law/legislation-act-2003" TargetMode="External"/><Relationship Id="rId191" Type="http://schemas.openxmlformats.org/officeDocument/2006/relationships/hyperlink" Target="https://www.legislation.gov.au/C2004A01224/" TargetMode="External"/><Relationship Id="rId205" Type="http://schemas.openxmlformats.org/officeDocument/2006/relationships/hyperlink" Target="https://www.opc.gov.au/drafting-resources/drafting-directions" TargetMode="External"/><Relationship Id="rId247" Type="http://schemas.openxmlformats.org/officeDocument/2006/relationships/hyperlink" Target="https://www.legislation.gov.au/F2026L00129/latest/text" TargetMode="External"/><Relationship Id="rId412" Type="http://schemas.openxmlformats.org/officeDocument/2006/relationships/hyperlink" Target="http://www.comlaw.gov.au/Current/C2013C00032" TargetMode="External"/><Relationship Id="rId107" Type="http://schemas.openxmlformats.org/officeDocument/2006/relationships/hyperlink" Target="https://www.legislation.gov.au/F2015L01475/latest/text" TargetMode="External"/><Relationship Id="rId289" Type="http://schemas.openxmlformats.org/officeDocument/2006/relationships/hyperlink" Target="https://www.legislation.gov.au/F2026L00129/latest/text" TargetMode="External"/><Relationship Id="rId454" Type="http://schemas.openxmlformats.org/officeDocument/2006/relationships/hyperlink" Target="http://www.comlaw.gov.au/Current/C2013C00032" TargetMode="External"/><Relationship Id="rId496" Type="http://schemas.openxmlformats.org/officeDocument/2006/relationships/hyperlink" Target="https://www.legislation.gov.au/C2004A01224/latest/text" TargetMode="External"/><Relationship Id="rId11" Type="http://schemas.openxmlformats.org/officeDocument/2006/relationships/hyperlink" Target="https://www.legislation.gov.au/" TargetMode="External"/><Relationship Id="rId53" Type="http://schemas.openxmlformats.org/officeDocument/2006/relationships/hyperlink" Target="https://www.legislation.gov.au/F2015L01475/latest/text" TargetMode="External"/><Relationship Id="rId149" Type="http://schemas.openxmlformats.org/officeDocument/2006/relationships/image" Target="media/image4.png"/><Relationship Id="rId314" Type="http://schemas.openxmlformats.org/officeDocument/2006/relationships/hyperlink" Target="https://www.legislation.gov.au/C2004A01224/latest/text" TargetMode="External"/><Relationship Id="rId356" Type="http://schemas.openxmlformats.org/officeDocument/2006/relationships/hyperlink" Target="https://www.legislation.gov.au/C2004A01224/latest/text" TargetMode="External"/><Relationship Id="rId398" Type="http://schemas.openxmlformats.org/officeDocument/2006/relationships/hyperlink" Target="https://www.legislation.gov.au/latest/C2016C00186" TargetMode="External"/><Relationship Id="rId521" Type="http://schemas.openxmlformats.org/officeDocument/2006/relationships/hyperlink" Target="https://www.legislation.gov.au/latest/C2016C00186" TargetMode="External"/><Relationship Id="rId563" Type="http://schemas.openxmlformats.org/officeDocument/2006/relationships/hyperlink" Target="http://www.comlaw.gov.au/Current/C2013C00032" TargetMode="External"/><Relationship Id="rId619" Type="http://schemas.openxmlformats.org/officeDocument/2006/relationships/header" Target="header11.xml"/><Relationship Id="rId95" Type="http://schemas.openxmlformats.org/officeDocument/2006/relationships/hyperlink" Target="https://www.legislation.gov.au/latest/F2015L01475" TargetMode="External"/><Relationship Id="rId160" Type="http://schemas.openxmlformats.org/officeDocument/2006/relationships/hyperlink" Target="https://www.legislation.gov.au/C2004A01224/" TargetMode="External"/><Relationship Id="rId216" Type="http://schemas.openxmlformats.org/officeDocument/2006/relationships/hyperlink" Target="https://www.opc.gov.au/drafting-resources/drafting-directions" TargetMode="External"/><Relationship Id="rId423" Type="http://schemas.openxmlformats.org/officeDocument/2006/relationships/hyperlink" Target="https://www.legislation.gov.au/C2004A01224/latest/text" TargetMode="External"/><Relationship Id="rId258" Type="http://schemas.openxmlformats.org/officeDocument/2006/relationships/hyperlink" Target="https://www.legislation.gov.au/C2004A01224/" TargetMode="External"/><Relationship Id="rId465" Type="http://schemas.openxmlformats.org/officeDocument/2006/relationships/hyperlink" Target="https://www.legislation.gov.au/C2004A01224/latest/text" TargetMode="External"/><Relationship Id="rId630" Type="http://schemas.openxmlformats.org/officeDocument/2006/relationships/hyperlink" Target="mailto:table.office.reps@aph.gov.au" TargetMode="External"/><Relationship Id="rId22" Type="http://schemas.openxmlformats.org/officeDocument/2006/relationships/hyperlink" Target="https://www.legislation.gov.au/C1901A00002/" TargetMode="External"/><Relationship Id="rId64" Type="http://schemas.openxmlformats.org/officeDocument/2006/relationships/hyperlink" Target="https://www.legislation.gov.au/C2004A01224/" TargetMode="External"/><Relationship Id="rId118" Type="http://schemas.openxmlformats.org/officeDocument/2006/relationships/hyperlink" Target="https://www.legislation.gov.au/C2004A01224/" TargetMode="External"/><Relationship Id="rId325" Type="http://schemas.openxmlformats.org/officeDocument/2006/relationships/footer" Target="footer8.xml"/><Relationship Id="rId367" Type="http://schemas.openxmlformats.org/officeDocument/2006/relationships/hyperlink" Target="https://www.legislation.gov.au/latest/C2016C00186" TargetMode="External"/><Relationship Id="rId532" Type="http://schemas.openxmlformats.org/officeDocument/2006/relationships/hyperlink" Target="http://www.comlaw.gov.au/Current/C2013C00032" TargetMode="External"/><Relationship Id="rId574" Type="http://schemas.openxmlformats.org/officeDocument/2006/relationships/hyperlink" Target="https://www.legislation.gov.au/latest/C2016C00186" TargetMode="External"/><Relationship Id="rId171" Type="http://schemas.openxmlformats.org/officeDocument/2006/relationships/hyperlink" Target="https://www.legislation.gov.au/C1901A00002/latest/text" TargetMode="External"/><Relationship Id="rId227" Type="http://schemas.openxmlformats.org/officeDocument/2006/relationships/hyperlink" Target="https://www.legislation.gov.au/C2004A01224/" TargetMode="External"/><Relationship Id="rId269" Type="http://schemas.openxmlformats.org/officeDocument/2006/relationships/hyperlink" Target="https://lodge.legislation.gov.au" TargetMode="External"/><Relationship Id="rId434" Type="http://schemas.openxmlformats.org/officeDocument/2006/relationships/hyperlink" Target="https://www.legislation.gov.au/C2004A01224/latest/text" TargetMode="External"/><Relationship Id="rId476" Type="http://schemas.openxmlformats.org/officeDocument/2006/relationships/hyperlink" Target="https://www.legislation.gov.au/C2004A01224/latest/text" TargetMode="External"/><Relationship Id="rId641" Type="http://schemas.openxmlformats.org/officeDocument/2006/relationships/footer" Target="footer17.xml"/><Relationship Id="rId33" Type="http://schemas.openxmlformats.org/officeDocument/2006/relationships/footer" Target="footer3.xml"/><Relationship Id="rId129" Type="http://schemas.openxmlformats.org/officeDocument/2006/relationships/hyperlink" Target="https://www.legislation.gov.au/C2004A01224/" TargetMode="External"/><Relationship Id="rId280" Type="http://schemas.openxmlformats.org/officeDocument/2006/relationships/hyperlink" Target="https://www.legislation.gov.au/C2004A01224/" TargetMode="External"/><Relationship Id="rId336" Type="http://schemas.openxmlformats.org/officeDocument/2006/relationships/hyperlink" Target="https://www.legislation.gov.au/C2004A01224/" TargetMode="External"/><Relationship Id="rId501" Type="http://schemas.openxmlformats.org/officeDocument/2006/relationships/hyperlink" Target="http://www.comlaw.gov.au/Current/C2013C00032" TargetMode="External"/><Relationship Id="rId543" Type="http://schemas.openxmlformats.org/officeDocument/2006/relationships/hyperlink" Target="https://www.legislation.gov.au/C2004A01224/latest/text" TargetMode="External"/><Relationship Id="rId75" Type="http://schemas.openxmlformats.org/officeDocument/2006/relationships/hyperlink" Target="https://www.legislation.gov.au/F2015L01475/latest/text" TargetMode="External"/><Relationship Id="rId140" Type="http://schemas.openxmlformats.org/officeDocument/2006/relationships/image" Target="media/image3.png"/><Relationship Id="rId182" Type="http://schemas.openxmlformats.org/officeDocument/2006/relationships/hyperlink" Target="https://www.legislation.gov.au/C2004A01224/" TargetMode="External"/><Relationship Id="rId378" Type="http://schemas.openxmlformats.org/officeDocument/2006/relationships/hyperlink" Target="https://www.legislation.gov.au/C2004A03330/latest/text" TargetMode="External"/><Relationship Id="rId403" Type="http://schemas.openxmlformats.org/officeDocument/2006/relationships/hyperlink" Target="http://www.comlaw.gov.au/Current/C2013C00032" TargetMode="External"/><Relationship Id="rId585" Type="http://schemas.openxmlformats.org/officeDocument/2006/relationships/hyperlink" Target="http://www.comlaw.gov.au/Current/C2013C00032" TargetMode="External"/><Relationship Id="rId6" Type="http://schemas.openxmlformats.org/officeDocument/2006/relationships/footnotes" Target="footnotes.xml"/><Relationship Id="rId238" Type="http://schemas.openxmlformats.org/officeDocument/2006/relationships/hyperlink" Target="https://www.legislation.gov.au/F2026L00129/latest/text" TargetMode="External"/><Relationship Id="rId445" Type="http://schemas.openxmlformats.org/officeDocument/2006/relationships/hyperlink" Target="https://www.legislation.gov.au/latest/C2016C00186" TargetMode="External"/><Relationship Id="rId487" Type="http://schemas.openxmlformats.org/officeDocument/2006/relationships/hyperlink" Target="https://www.legislation.gov.au/C2004A01224/latest/text" TargetMode="External"/><Relationship Id="rId610" Type="http://schemas.openxmlformats.org/officeDocument/2006/relationships/hyperlink" Target="https://www.pmc.gov.au/resources/federal-executive-council-handbook-2021" TargetMode="External"/><Relationship Id="rId652" Type="http://schemas.openxmlformats.org/officeDocument/2006/relationships/fontTable" Target="fontTable.xml"/><Relationship Id="rId291" Type="http://schemas.openxmlformats.org/officeDocument/2006/relationships/hyperlink" Target="mailto:lodge@legislation.gov.au" TargetMode="External"/><Relationship Id="rId305" Type="http://schemas.openxmlformats.org/officeDocument/2006/relationships/hyperlink" Target="https://www.legislation.gov.au/F2026L00129/latest/text" TargetMode="External"/><Relationship Id="rId347" Type="http://schemas.openxmlformats.org/officeDocument/2006/relationships/hyperlink" Target="https://www.legislation.gov.au/C2004A01224/" TargetMode="External"/><Relationship Id="rId512" Type="http://schemas.openxmlformats.org/officeDocument/2006/relationships/hyperlink" Target="http://www.comlaw.gov.au/Current/C2013C00032" TargetMode="External"/><Relationship Id="rId44" Type="http://schemas.openxmlformats.org/officeDocument/2006/relationships/hyperlink" Target="https://www.legislation.gov.au/C2004A01224/" TargetMode="External"/><Relationship Id="rId86" Type="http://schemas.openxmlformats.org/officeDocument/2006/relationships/hyperlink" Target="https://www.legislation.gov.au/F2015L01475/latest/text" TargetMode="External"/><Relationship Id="rId151" Type="http://schemas.openxmlformats.org/officeDocument/2006/relationships/hyperlink" Target="https://www.legislation.gov.au/C2004A01224/" TargetMode="External"/><Relationship Id="rId389" Type="http://schemas.openxmlformats.org/officeDocument/2006/relationships/hyperlink" Target="https://www.legislation.gov.au/latest/C2016C00186" TargetMode="External"/><Relationship Id="rId554" Type="http://schemas.openxmlformats.org/officeDocument/2006/relationships/hyperlink" Target="mailto:helpdesk-OIA@pmc.gov.au" TargetMode="External"/><Relationship Id="rId596" Type="http://schemas.openxmlformats.org/officeDocument/2006/relationships/header" Target="header9.xml"/><Relationship Id="rId193" Type="http://schemas.openxmlformats.org/officeDocument/2006/relationships/hyperlink" Target="https://www.legislation.gov.au/C2004A01224/" TargetMode="External"/><Relationship Id="rId207" Type="http://schemas.openxmlformats.org/officeDocument/2006/relationships/hyperlink" Target="https://www.legislation.gov.au/C2004A03712/latest/text" TargetMode="External"/><Relationship Id="rId249" Type="http://schemas.openxmlformats.org/officeDocument/2006/relationships/hyperlink" Target="https://www.legislation.gov.au/F2026L00129/latest/text" TargetMode="External"/><Relationship Id="rId414" Type="http://schemas.openxmlformats.org/officeDocument/2006/relationships/hyperlink" Target="https://www.legislation.gov.au/C2004A01224/latest/text" TargetMode="External"/><Relationship Id="rId456" Type="http://schemas.openxmlformats.org/officeDocument/2006/relationships/hyperlink" Target="https://www.legislation.gov.au/C2004A01224/latest/text" TargetMode="External"/><Relationship Id="rId498" Type="http://schemas.openxmlformats.org/officeDocument/2006/relationships/hyperlink" Target="http://www.comlaw.gov.au/Current/C2013C00032" TargetMode="External"/><Relationship Id="rId621" Type="http://schemas.openxmlformats.org/officeDocument/2006/relationships/header" Target="header12.xml"/><Relationship Id="rId13" Type="http://schemas.openxmlformats.org/officeDocument/2006/relationships/hyperlink" Target="https://www.legislation.gov.au/F2015L01475/latest/text" TargetMode="External"/><Relationship Id="rId109" Type="http://schemas.openxmlformats.org/officeDocument/2006/relationships/hyperlink" Target="https://www.legislation.gov.au/C2004A01224/" TargetMode="External"/><Relationship Id="rId260" Type="http://schemas.openxmlformats.org/officeDocument/2006/relationships/hyperlink" Target="https://www.legislation.gov.au/C2004A04633/latest/text" TargetMode="External"/><Relationship Id="rId316" Type="http://schemas.openxmlformats.org/officeDocument/2006/relationships/hyperlink" Target="https://www.legislation.gov.au/C2004A01224/" TargetMode="External"/><Relationship Id="rId523" Type="http://schemas.openxmlformats.org/officeDocument/2006/relationships/footer" Target="footer11.xml"/><Relationship Id="rId55" Type="http://schemas.openxmlformats.org/officeDocument/2006/relationships/hyperlink" Target="https://www.legislation.gov.au/C2004A01224/" TargetMode="External"/><Relationship Id="rId97" Type="http://schemas.openxmlformats.org/officeDocument/2006/relationships/hyperlink" Target="https://www.legislation.gov.au/latest/F2015L01475" TargetMode="External"/><Relationship Id="rId120" Type="http://schemas.openxmlformats.org/officeDocument/2006/relationships/header" Target="header2.xml"/><Relationship Id="rId358" Type="http://schemas.openxmlformats.org/officeDocument/2006/relationships/hyperlink" Target="https://www.legislation.gov.au/latest/C2016C00186" TargetMode="External"/><Relationship Id="rId565" Type="http://schemas.openxmlformats.org/officeDocument/2006/relationships/hyperlink" Target="https://www.legislation.gov.au/C2004A01224/latest/text" TargetMode="External"/><Relationship Id="rId162" Type="http://schemas.openxmlformats.org/officeDocument/2006/relationships/hyperlink" Target="https://www.legislation.gov.au/C1901A00002/" TargetMode="External"/><Relationship Id="rId218" Type="http://schemas.openxmlformats.org/officeDocument/2006/relationships/hyperlink" Target="https://www.legislation.gov.au/F2026L00129/latest/text" TargetMode="External"/><Relationship Id="rId425" Type="http://schemas.openxmlformats.org/officeDocument/2006/relationships/hyperlink" Target="https://www.legislation.gov.au/latest/C2016C00186" TargetMode="External"/><Relationship Id="rId467" Type="http://schemas.openxmlformats.org/officeDocument/2006/relationships/hyperlink" Target="https://www.legislation.gov.au/latest/C2016C00186" TargetMode="External"/><Relationship Id="rId632" Type="http://schemas.openxmlformats.org/officeDocument/2006/relationships/hyperlink" Target="mailto:adminlaw@ag.gov.au" TargetMode="External"/><Relationship Id="rId271" Type="http://schemas.openxmlformats.org/officeDocument/2006/relationships/hyperlink" Target="mailto:lodge@legislation.gov.au" TargetMode="External"/><Relationship Id="rId24" Type="http://schemas.openxmlformats.org/officeDocument/2006/relationships/hyperlink" Target="https://www.legislation.gov.au/C2004A01224/" TargetMode="External"/><Relationship Id="rId66" Type="http://schemas.openxmlformats.org/officeDocument/2006/relationships/hyperlink" Target="https://www.legislation.gov.au/C2004A01224/" TargetMode="External"/><Relationship Id="rId131" Type="http://schemas.openxmlformats.org/officeDocument/2006/relationships/hyperlink" Target="https://www.legislation.gov.au/latest/C2016C00151" TargetMode="External"/><Relationship Id="rId327" Type="http://schemas.openxmlformats.org/officeDocument/2006/relationships/hyperlink" Target="https://www.legislation.gov.au/C2004A01224/" TargetMode="External"/><Relationship Id="rId369" Type="http://schemas.openxmlformats.org/officeDocument/2006/relationships/hyperlink" Target="mailto:helpdesk-OIA@pmc.gov.au" TargetMode="External"/><Relationship Id="rId534" Type="http://schemas.openxmlformats.org/officeDocument/2006/relationships/hyperlink" Target="mailto:helpdesk-obpr@pmc.gov.au" TargetMode="External"/><Relationship Id="rId576" Type="http://schemas.openxmlformats.org/officeDocument/2006/relationships/hyperlink" Target="https://www.legislation.gov.au/C2004A01224/latest/text" TargetMode="External"/><Relationship Id="rId173" Type="http://schemas.openxmlformats.org/officeDocument/2006/relationships/hyperlink" Target="https://www.legislation.gov.au/C2004A01224/" TargetMode="External"/><Relationship Id="rId229" Type="http://schemas.openxmlformats.org/officeDocument/2006/relationships/hyperlink" Target="https://www.legislation.gov.au/C2004A02796/latest/text" TargetMode="External"/><Relationship Id="rId380" Type="http://schemas.openxmlformats.org/officeDocument/2006/relationships/hyperlink" Target="http://www.comlaw.gov.au/Current/C2013C00032" TargetMode="External"/><Relationship Id="rId436" Type="http://schemas.openxmlformats.org/officeDocument/2006/relationships/hyperlink" Target="https://www.legislation.gov.au/latest/C2016C00186" TargetMode="External"/><Relationship Id="rId601" Type="http://schemas.openxmlformats.org/officeDocument/2006/relationships/hyperlink" Target="https://www.legislation.gov.au/latest/C2016C00151" TargetMode="External"/><Relationship Id="rId643" Type="http://schemas.openxmlformats.org/officeDocument/2006/relationships/footer" Target="footer18.xml"/><Relationship Id="rId240" Type="http://schemas.openxmlformats.org/officeDocument/2006/relationships/hyperlink" Target="https://www.legislation.gov.au/F2026L00129/latest/text" TargetMode="External"/><Relationship Id="rId478" Type="http://schemas.openxmlformats.org/officeDocument/2006/relationships/hyperlink" Target="http://www.comlaw.gov.au/Current/C2013C00032" TargetMode="External"/><Relationship Id="rId35" Type="http://schemas.openxmlformats.org/officeDocument/2006/relationships/hyperlink" Target="https://www.legislation.gov.au/C2004A01224/" TargetMode="External"/><Relationship Id="rId77" Type="http://schemas.openxmlformats.org/officeDocument/2006/relationships/hyperlink" Target="https://www.legislation.gov.au/latest/F2015L01475" TargetMode="External"/><Relationship Id="rId100" Type="http://schemas.openxmlformats.org/officeDocument/2006/relationships/hyperlink" Target="https://www.legislation.gov.au/C2004A01224/" TargetMode="External"/><Relationship Id="rId282" Type="http://schemas.openxmlformats.org/officeDocument/2006/relationships/hyperlink" Target="https://www.legislation.gov.au/C2004A01224/" TargetMode="External"/><Relationship Id="rId338" Type="http://schemas.openxmlformats.org/officeDocument/2006/relationships/hyperlink" Target="mailto:helpdesk-OIA@pmc.gov.au" TargetMode="External"/><Relationship Id="rId503" Type="http://schemas.openxmlformats.org/officeDocument/2006/relationships/hyperlink" Target="https://www.legislation.gov.au/latest/C2016C00186" TargetMode="External"/><Relationship Id="rId545" Type="http://schemas.openxmlformats.org/officeDocument/2006/relationships/hyperlink" Target="https://www.legislation.gov.au/latest/C2016C00186" TargetMode="External"/><Relationship Id="rId587" Type="http://schemas.openxmlformats.org/officeDocument/2006/relationships/hyperlink" Target="https://www.legislation.gov.au/C2004A01224/latest/text" TargetMode="External"/><Relationship Id="rId8" Type="http://schemas.openxmlformats.org/officeDocument/2006/relationships/image" Target="media/image1.jpeg"/><Relationship Id="rId142" Type="http://schemas.openxmlformats.org/officeDocument/2006/relationships/hyperlink" Target="https://www.legislation.gov.au/C2004A01224/" TargetMode="External"/><Relationship Id="rId184" Type="http://schemas.openxmlformats.org/officeDocument/2006/relationships/hyperlink" Target="https://www.legislation.gov.au/C1901A00002/latest/text" TargetMode="External"/><Relationship Id="rId391" Type="http://schemas.openxmlformats.org/officeDocument/2006/relationships/hyperlink" Target="http://www.comlaw.gov.au/Current/C2013C00032" TargetMode="External"/><Relationship Id="rId405" Type="http://schemas.openxmlformats.org/officeDocument/2006/relationships/hyperlink" Target="https://www.legislation.gov.au/C2004A01224/latest/text" TargetMode="External"/><Relationship Id="rId447" Type="http://schemas.openxmlformats.org/officeDocument/2006/relationships/hyperlink" Target="https://www.legislation.gov.au/C2004A01224/" TargetMode="External"/><Relationship Id="rId612" Type="http://schemas.openxmlformats.org/officeDocument/2006/relationships/hyperlink" Target="https://www.pmc.gov.au/resources/legislation-handbook" TargetMode="External"/><Relationship Id="rId251" Type="http://schemas.openxmlformats.org/officeDocument/2006/relationships/hyperlink" Target="https://lodge.legislation.gov.au" TargetMode="External"/><Relationship Id="rId489" Type="http://schemas.openxmlformats.org/officeDocument/2006/relationships/hyperlink" Target="http://www.comlaw.gov.au/Current/C2013C00032" TargetMode="External"/><Relationship Id="rId46" Type="http://schemas.openxmlformats.org/officeDocument/2006/relationships/hyperlink" Target="https://www.legislation.gov.au/C2004A01224/" TargetMode="External"/><Relationship Id="rId293" Type="http://schemas.openxmlformats.org/officeDocument/2006/relationships/hyperlink" Target="https://www.legislation.gov.au/C2004A01224/" TargetMode="External"/><Relationship Id="rId307" Type="http://schemas.openxmlformats.org/officeDocument/2006/relationships/hyperlink" Target="https://www.legislation.gov.au/C1968A00063/latest/text" TargetMode="External"/><Relationship Id="rId349" Type="http://schemas.openxmlformats.org/officeDocument/2006/relationships/hyperlink" Target="https://www.legislation.gov.au/latest/C2016C00186" TargetMode="External"/><Relationship Id="rId514" Type="http://schemas.openxmlformats.org/officeDocument/2006/relationships/hyperlink" Target="https://www.legislation.gov.au/latest/C2016C00186" TargetMode="External"/><Relationship Id="rId556" Type="http://schemas.openxmlformats.org/officeDocument/2006/relationships/hyperlink" Target="https://www.legislation.gov.au/C2004A01224/" TargetMode="External"/><Relationship Id="rId88" Type="http://schemas.openxmlformats.org/officeDocument/2006/relationships/hyperlink" Target="https://www.legislation.gov.au/F2015L01475/latest/text" TargetMode="External"/><Relationship Id="rId111" Type="http://schemas.openxmlformats.org/officeDocument/2006/relationships/hyperlink" Target="https://www.legislation.gov.au/C2004A01224/" TargetMode="External"/><Relationship Id="rId153" Type="http://schemas.openxmlformats.org/officeDocument/2006/relationships/hyperlink" Target="https://www.legislation.gov.au/C1901A00002/" TargetMode="External"/><Relationship Id="rId195" Type="http://schemas.openxmlformats.org/officeDocument/2006/relationships/hyperlink" Target="https://www.legislation.gov.au/C1901A00002/latest/text" TargetMode="External"/><Relationship Id="rId209" Type="http://schemas.openxmlformats.org/officeDocument/2006/relationships/hyperlink" Target="https://www.legislation.gov.au/C2004A03712/latest/text" TargetMode="External"/><Relationship Id="rId360" Type="http://schemas.openxmlformats.org/officeDocument/2006/relationships/hyperlink" Target="https://www.legislation.gov.au/C2004A01224/latest/text" TargetMode="External"/><Relationship Id="rId416" Type="http://schemas.openxmlformats.org/officeDocument/2006/relationships/hyperlink" Target="https://www.legislation.gov.au/latest/C2016C00186" TargetMode="External"/><Relationship Id="rId598" Type="http://schemas.openxmlformats.org/officeDocument/2006/relationships/header" Target="header10.xml"/><Relationship Id="rId220" Type="http://schemas.openxmlformats.org/officeDocument/2006/relationships/hyperlink" Target="https://www.legislation.gov.au/F2026L00129/latest/text" TargetMode="External"/><Relationship Id="rId458" Type="http://schemas.openxmlformats.org/officeDocument/2006/relationships/hyperlink" Target="http://www.comlaw.gov.au/Current/C2013C00032" TargetMode="External"/><Relationship Id="rId623" Type="http://schemas.openxmlformats.org/officeDocument/2006/relationships/hyperlink" Target="mailto:instrument.instructions@opc.gov.au?subject=Instructions%20on" TargetMode="External"/><Relationship Id="rId15" Type="http://schemas.openxmlformats.org/officeDocument/2006/relationships/hyperlink" Target="https://www.legislation.gov.au/F2025L01591/asmade/text" TargetMode="External"/><Relationship Id="rId57" Type="http://schemas.openxmlformats.org/officeDocument/2006/relationships/hyperlink" Target="https://www.legislation.gov.au/C2004A01224/" TargetMode="External"/><Relationship Id="rId262" Type="http://schemas.openxmlformats.org/officeDocument/2006/relationships/footer" Target="footer7.xml"/><Relationship Id="rId318" Type="http://schemas.openxmlformats.org/officeDocument/2006/relationships/hyperlink" Target="https://www.legislation.gov.au/C2004A01224/" TargetMode="External"/><Relationship Id="rId525" Type="http://schemas.openxmlformats.org/officeDocument/2006/relationships/hyperlink" Target="https://www.legislation.gov.au/C2004A01224/" TargetMode="External"/><Relationship Id="rId567" Type="http://schemas.openxmlformats.org/officeDocument/2006/relationships/hyperlink" Target="http://www.comlaw.gov.au/Current/C2013C00032" TargetMode="External"/><Relationship Id="rId99" Type="http://schemas.openxmlformats.org/officeDocument/2006/relationships/hyperlink" Target="https://www.legislation.gov.au/C2004A01224/" TargetMode="External"/><Relationship Id="rId122" Type="http://schemas.openxmlformats.org/officeDocument/2006/relationships/hyperlink" Target="https://www.legislation.gov.au/C2004A01224/" TargetMode="External"/><Relationship Id="rId164" Type="http://schemas.openxmlformats.org/officeDocument/2006/relationships/hyperlink" Target="https://www.opc.gov.au/drafting-resources/client-advisers" TargetMode="External"/><Relationship Id="rId371" Type="http://schemas.openxmlformats.org/officeDocument/2006/relationships/hyperlink" Target="https://www.legislation.gov.au/C2004A01224/latest/text" TargetMode="External"/><Relationship Id="rId427" Type="http://schemas.openxmlformats.org/officeDocument/2006/relationships/hyperlink" Target="http://www.comlaw.gov.au/Current/C2013C00032" TargetMode="External"/><Relationship Id="rId469" Type="http://schemas.openxmlformats.org/officeDocument/2006/relationships/hyperlink" Target="https://www.comlaw.gov.au/Current/F2015L01475/" TargetMode="External"/><Relationship Id="rId634" Type="http://schemas.openxmlformats.org/officeDocument/2006/relationships/hyperlink" Target="mailto:humanrights@ag.gov.au" TargetMode="External"/><Relationship Id="rId26" Type="http://schemas.openxmlformats.org/officeDocument/2006/relationships/hyperlink" Target="https://www.legislation.gov.au/Latest/C2018A00078" TargetMode="External"/><Relationship Id="rId231" Type="http://schemas.openxmlformats.org/officeDocument/2006/relationships/hyperlink" Target="https://lodge.legislation.gov.au" TargetMode="External"/><Relationship Id="rId273" Type="http://schemas.openxmlformats.org/officeDocument/2006/relationships/hyperlink" Target="https://www.legislation.gov.au/Feedback" TargetMode="External"/><Relationship Id="rId329" Type="http://schemas.openxmlformats.org/officeDocument/2006/relationships/hyperlink" Target="https://www.legislation.gov.au/C2004A01224/" TargetMode="External"/><Relationship Id="rId480" Type="http://schemas.openxmlformats.org/officeDocument/2006/relationships/hyperlink" Target="https://www.legislation.gov.au/C2004A01224/latest/text" TargetMode="External"/><Relationship Id="rId536" Type="http://schemas.openxmlformats.org/officeDocument/2006/relationships/hyperlink" Target="https://www.legislation.gov.au/C2004A01224/latest/text" TargetMode="External"/><Relationship Id="rId68" Type="http://schemas.openxmlformats.org/officeDocument/2006/relationships/hyperlink" Target="https://www.legislation.gov.au/C2004A01224/" TargetMode="External"/><Relationship Id="rId133" Type="http://schemas.openxmlformats.org/officeDocument/2006/relationships/hyperlink" Target="https://www.legislation.gov.au/C2004A01224/" TargetMode="External"/><Relationship Id="rId175" Type="http://schemas.openxmlformats.org/officeDocument/2006/relationships/hyperlink" Target="https://www.legislation.gov.au/latest/C2016C00151" TargetMode="External"/><Relationship Id="rId340" Type="http://schemas.openxmlformats.org/officeDocument/2006/relationships/footer" Target="footer9.xml"/><Relationship Id="rId578" Type="http://schemas.openxmlformats.org/officeDocument/2006/relationships/hyperlink" Target="https://www.legislation.gov.au/latest/C2016C00186" TargetMode="External"/><Relationship Id="rId200" Type="http://schemas.openxmlformats.org/officeDocument/2006/relationships/hyperlink" Target="https://www.legislation.gov.au/latest/F2015L01475" TargetMode="External"/><Relationship Id="rId382" Type="http://schemas.openxmlformats.org/officeDocument/2006/relationships/hyperlink" Target="https://www.legislation.gov.au/C2011A00186/latest/text" TargetMode="External"/><Relationship Id="rId438" Type="http://schemas.openxmlformats.org/officeDocument/2006/relationships/hyperlink" Target="http://www.comlaw.gov.au/Current/C2013C00032" TargetMode="External"/><Relationship Id="rId603" Type="http://schemas.openxmlformats.org/officeDocument/2006/relationships/hyperlink" Target="https://www.legislation.gov.au/F2015L01475/latest/text" TargetMode="External"/><Relationship Id="rId645" Type="http://schemas.openxmlformats.org/officeDocument/2006/relationships/hyperlink" Target="https://www.legislation.gov.au/C2004A01224/" TargetMode="External"/><Relationship Id="rId242" Type="http://schemas.openxmlformats.org/officeDocument/2006/relationships/hyperlink" Target="https://www.legislation.gov.au/C2004A01224/" TargetMode="External"/><Relationship Id="rId284" Type="http://schemas.openxmlformats.org/officeDocument/2006/relationships/hyperlink" Target="https://www.legislation.gov.au/C2004A01224/" TargetMode="External"/><Relationship Id="rId491" Type="http://schemas.openxmlformats.org/officeDocument/2006/relationships/hyperlink" Target="https://www.legislation.gov.au/C2004A01224/latest/text" TargetMode="External"/><Relationship Id="rId505" Type="http://schemas.openxmlformats.org/officeDocument/2006/relationships/hyperlink" Target="http://www.comlaw.gov.au/Current/C2013C00032" TargetMode="External"/><Relationship Id="rId37" Type="http://schemas.openxmlformats.org/officeDocument/2006/relationships/hyperlink" Target="https://www.legislation.gov.au/C2004A01224/" TargetMode="External"/><Relationship Id="rId79" Type="http://schemas.openxmlformats.org/officeDocument/2006/relationships/hyperlink" Target="https://www.legislation.gov.au/C2004A01224/" TargetMode="External"/><Relationship Id="rId102" Type="http://schemas.openxmlformats.org/officeDocument/2006/relationships/hyperlink" Target="https://www.legislation.gov.au/C2004A01224/" TargetMode="External"/><Relationship Id="rId144" Type="http://schemas.openxmlformats.org/officeDocument/2006/relationships/hyperlink" Target="https://www.legislation.gov.au/F2026L00129/latest/text" TargetMode="External"/><Relationship Id="rId547" Type="http://schemas.openxmlformats.org/officeDocument/2006/relationships/hyperlink" Target="http://www.comlaw.gov.au/Current/C2013C00032" TargetMode="External"/><Relationship Id="rId589" Type="http://schemas.openxmlformats.org/officeDocument/2006/relationships/hyperlink" Target="https://www.legislation.gov.au/latest/C2016C00186" TargetMode="External"/><Relationship Id="rId90" Type="http://schemas.openxmlformats.org/officeDocument/2006/relationships/hyperlink" Target="https://www.legislation.gov.au/F2015L01475/latest/text" TargetMode="External"/><Relationship Id="rId186" Type="http://schemas.openxmlformats.org/officeDocument/2006/relationships/hyperlink" Target="https://www.legislation.gov.au/C2004A01224/" TargetMode="External"/><Relationship Id="rId351" Type="http://schemas.openxmlformats.org/officeDocument/2006/relationships/hyperlink" Target="https://www.legislation.gov.au/latest/C2016C00186" TargetMode="External"/><Relationship Id="rId393" Type="http://schemas.openxmlformats.org/officeDocument/2006/relationships/hyperlink" Target="https://www.legislation.gov.au/latest/C2016C00186" TargetMode="External"/><Relationship Id="rId407" Type="http://schemas.openxmlformats.org/officeDocument/2006/relationships/hyperlink" Target="https://www.legislation.gov.au/latest/C2016C00186" TargetMode="External"/><Relationship Id="rId449" Type="http://schemas.openxmlformats.org/officeDocument/2006/relationships/hyperlink" Target="http://www.comlaw.gov.au/Current/C2013C00032" TargetMode="External"/><Relationship Id="rId614" Type="http://schemas.openxmlformats.org/officeDocument/2006/relationships/hyperlink" Target="https://www.opc.gov.au/drafting-resources/drafting-directions" TargetMode="External"/><Relationship Id="rId211" Type="http://schemas.openxmlformats.org/officeDocument/2006/relationships/hyperlink" Target="mailto:lodge@legislation.gov.au" TargetMode="External"/><Relationship Id="rId253" Type="http://schemas.openxmlformats.org/officeDocument/2006/relationships/hyperlink" Target="https://www.legislation.gov.au/C2004A01224/" TargetMode="External"/><Relationship Id="rId295" Type="http://schemas.openxmlformats.org/officeDocument/2006/relationships/hyperlink" Target="https://www.legislation.gov.au/C2004A01224/" TargetMode="External"/><Relationship Id="rId309" Type="http://schemas.openxmlformats.org/officeDocument/2006/relationships/hyperlink" Target="https://www.legislation.gov.au/help-and-resources/using-the-legislation-register/linking-and-downloads" TargetMode="External"/><Relationship Id="rId460" Type="http://schemas.openxmlformats.org/officeDocument/2006/relationships/hyperlink" Target="https://www.legislation.gov.au/C2004A01224/latest/text" TargetMode="External"/><Relationship Id="rId516" Type="http://schemas.openxmlformats.org/officeDocument/2006/relationships/hyperlink" Target="http://www.comlaw.gov.au/Current/C2013C00032" TargetMode="External"/><Relationship Id="rId48" Type="http://schemas.openxmlformats.org/officeDocument/2006/relationships/hyperlink" Target="https://www.legislation.gov.au/C2004A01224/" TargetMode="External"/><Relationship Id="rId113" Type="http://schemas.openxmlformats.org/officeDocument/2006/relationships/hyperlink" Target="https://www.legislation.gov.au/latest/F2015L01475" TargetMode="External"/><Relationship Id="rId320" Type="http://schemas.openxmlformats.org/officeDocument/2006/relationships/hyperlink" Target="mailto:sunsetting@opc.gov.au" TargetMode="External"/><Relationship Id="rId558" Type="http://schemas.openxmlformats.org/officeDocument/2006/relationships/hyperlink" Target="http://www.comlaw.gov.au/Current/C2013C00032" TargetMode="External"/><Relationship Id="rId155" Type="http://schemas.openxmlformats.org/officeDocument/2006/relationships/hyperlink" Target="https://www.comlaw.gov.au/Current/F2015L01475/" TargetMode="External"/><Relationship Id="rId197" Type="http://schemas.openxmlformats.org/officeDocument/2006/relationships/hyperlink" Target="https://www.legislation.gov.au/C2004A01224/" TargetMode="External"/><Relationship Id="rId362" Type="http://schemas.openxmlformats.org/officeDocument/2006/relationships/hyperlink" Target="http://www.comlaw.gov.au/Current/C2013C00032" TargetMode="External"/><Relationship Id="rId418" Type="http://schemas.openxmlformats.org/officeDocument/2006/relationships/hyperlink" Target="http://www.comlaw.gov.au/Current/C2013C00032" TargetMode="External"/><Relationship Id="rId625" Type="http://schemas.openxmlformats.org/officeDocument/2006/relationships/hyperlink" Target="mailto:compilations@opc.gov.au" TargetMode="External"/><Relationship Id="rId222" Type="http://schemas.openxmlformats.org/officeDocument/2006/relationships/header" Target="header3.xml"/><Relationship Id="rId264" Type="http://schemas.openxmlformats.org/officeDocument/2006/relationships/hyperlink" Target="https://www.legislation.gov.au/C2004A01224/" TargetMode="External"/><Relationship Id="rId471" Type="http://schemas.openxmlformats.org/officeDocument/2006/relationships/hyperlink" Target="https://www.legislation.gov.au/C2004A01224/latest/text" TargetMode="External"/><Relationship Id="rId17" Type="http://schemas.openxmlformats.org/officeDocument/2006/relationships/footer" Target="footer1.xml"/><Relationship Id="rId59" Type="http://schemas.openxmlformats.org/officeDocument/2006/relationships/hyperlink" Target="https://www.legislation.gov.au/C2004A01224/" TargetMode="External"/><Relationship Id="rId124" Type="http://schemas.openxmlformats.org/officeDocument/2006/relationships/hyperlink" Target="https://www.legislation.gov.au/F2025L01591/asmade/text" TargetMode="External"/><Relationship Id="rId527" Type="http://schemas.openxmlformats.org/officeDocument/2006/relationships/hyperlink" Target="http://www.comlaw.gov.au/Current/C2013C00032" TargetMode="External"/><Relationship Id="rId569" Type="http://schemas.openxmlformats.org/officeDocument/2006/relationships/hyperlink" Target="https://www.legislation.gov.au/latest/C2016C00186" TargetMode="External"/><Relationship Id="rId70" Type="http://schemas.openxmlformats.org/officeDocument/2006/relationships/hyperlink" Target="https://www.legislation.gov.au/C2004A01224/" TargetMode="External"/><Relationship Id="rId166" Type="http://schemas.openxmlformats.org/officeDocument/2006/relationships/hyperlink" Target="https://www.legislation.gov.au/latest/C2016C00151" TargetMode="External"/><Relationship Id="rId331" Type="http://schemas.openxmlformats.org/officeDocument/2006/relationships/hyperlink" Target="https://www.legislation.gov.au/C2004A01224/" TargetMode="External"/><Relationship Id="rId373" Type="http://schemas.openxmlformats.org/officeDocument/2006/relationships/hyperlink" Target="http://www.comlaw.gov.au/Current/C2013C00032" TargetMode="External"/><Relationship Id="rId429" Type="http://schemas.openxmlformats.org/officeDocument/2006/relationships/hyperlink" Target="https://www.legislation.gov.au/C2004A01224/latest/text" TargetMode="External"/><Relationship Id="rId580" Type="http://schemas.openxmlformats.org/officeDocument/2006/relationships/hyperlink" Target="http://www.comlaw.gov.au/Current/C2013C00032" TargetMode="External"/><Relationship Id="rId636" Type="http://schemas.openxmlformats.org/officeDocument/2006/relationships/hyperlink" Target="mailto:helpdesk-OIA@pmc.gov.au" TargetMode="External"/><Relationship Id="rId1" Type="http://schemas.openxmlformats.org/officeDocument/2006/relationships/customXml" Target="../customXml/item1.xml"/><Relationship Id="rId233" Type="http://schemas.openxmlformats.org/officeDocument/2006/relationships/hyperlink" Target="mailto:lodge@legislation.gov.au" TargetMode="External"/><Relationship Id="rId440" Type="http://schemas.openxmlformats.org/officeDocument/2006/relationships/hyperlink" Target="https://www.legislation.gov.au/C2004A01224/latest/text" TargetMode="External"/><Relationship Id="rId28" Type="http://schemas.openxmlformats.org/officeDocument/2006/relationships/hyperlink" Target="https://www.legislation.gov.au/C2004A01224/" TargetMode="External"/><Relationship Id="rId275" Type="http://schemas.openxmlformats.org/officeDocument/2006/relationships/hyperlink" Target="https://www.legislation.gov.au/C2004A01224/" TargetMode="External"/><Relationship Id="rId300" Type="http://schemas.openxmlformats.org/officeDocument/2006/relationships/hyperlink" Target="https://www.legislation.gov.au/C2004A01224/" TargetMode="External"/><Relationship Id="rId482" Type="http://schemas.openxmlformats.org/officeDocument/2006/relationships/hyperlink" Target="http://www.comlaw.gov.au/Current/C2013C00032" TargetMode="External"/><Relationship Id="rId538" Type="http://schemas.openxmlformats.org/officeDocument/2006/relationships/hyperlink" Target="https://www.legislation.gov.au/latest/C2016C00186" TargetMode="External"/><Relationship Id="rId81" Type="http://schemas.openxmlformats.org/officeDocument/2006/relationships/hyperlink" Target="https://www.legislation.gov.au/C2004A01224/" TargetMode="External"/><Relationship Id="rId135" Type="http://schemas.openxmlformats.org/officeDocument/2006/relationships/hyperlink" Target="https://www.legislation.gov.au/C2004A01224/" TargetMode="External"/><Relationship Id="rId177" Type="http://schemas.openxmlformats.org/officeDocument/2006/relationships/hyperlink" Target="https://www.legislation.gov.au/C2004A01224/" TargetMode="External"/><Relationship Id="rId342" Type="http://schemas.openxmlformats.org/officeDocument/2006/relationships/hyperlink" Target="https://www.legislation.gov.au/latest/C2016C00151" TargetMode="External"/><Relationship Id="rId384" Type="http://schemas.openxmlformats.org/officeDocument/2006/relationships/hyperlink" Target="http://www.comlaw.gov.au/Current/C2013C00032" TargetMode="External"/><Relationship Id="rId591" Type="http://schemas.openxmlformats.org/officeDocument/2006/relationships/hyperlink" Target="https://www.legislation.gov.au/C2004A01224/latest/text" TargetMode="External"/><Relationship Id="rId605" Type="http://schemas.openxmlformats.org/officeDocument/2006/relationships/hyperlink" Target="https://www.ag.gov.au/rights-and-protections/human-rights-and-anti-discrimination/human-rights-scrutiny" TargetMode="External"/><Relationship Id="rId202" Type="http://schemas.openxmlformats.org/officeDocument/2006/relationships/hyperlink" Target="https://www.opc.gov.au/drafting-resources/drafting-directions" TargetMode="External"/><Relationship Id="rId244" Type="http://schemas.openxmlformats.org/officeDocument/2006/relationships/hyperlink" Target="https://www.legislation.gov.au/C2004A01224/" TargetMode="External"/><Relationship Id="rId647" Type="http://schemas.openxmlformats.org/officeDocument/2006/relationships/hyperlink" Target="https://www.legislation.gov.au/F2026L00129/latest/text" TargetMode="External"/><Relationship Id="rId39" Type="http://schemas.openxmlformats.org/officeDocument/2006/relationships/hyperlink" Target="https://www.legislation.gov.au/C2004A01224/" TargetMode="External"/><Relationship Id="rId286" Type="http://schemas.openxmlformats.org/officeDocument/2006/relationships/hyperlink" Target="https://www.legislation.gov.au/C2004A01224/" TargetMode="External"/><Relationship Id="rId451" Type="http://schemas.openxmlformats.org/officeDocument/2006/relationships/hyperlink" Target="https://www.legislation.gov.au/latest/C2016C00186" TargetMode="External"/><Relationship Id="rId493" Type="http://schemas.openxmlformats.org/officeDocument/2006/relationships/hyperlink" Target="http://www.comlaw.gov.au/Current/C2013C00032" TargetMode="External"/><Relationship Id="rId507" Type="http://schemas.openxmlformats.org/officeDocument/2006/relationships/hyperlink" Target="https://www.legislation.gov.au/C2004A01224/latest/text" TargetMode="External"/><Relationship Id="rId549" Type="http://schemas.openxmlformats.org/officeDocument/2006/relationships/hyperlink" Target="https://www.legislation.gov.au/latest/C2016C00186" TargetMode="External"/><Relationship Id="rId50" Type="http://schemas.openxmlformats.org/officeDocument/2006/relationships/hyperlink" Target="https://www.legislation.gov.au/C2004A01224/" TargetMode="External"/><Relationship Id="rId104" Type="http://schemas.openxmlformats.org/officeDocument/2006/relationships/hyperlink" Target="https://www.legislation.gov.au/C2004A01224/" TargetMode="External"/><Relationship Id="rId146" Type="http://schemas.openxmlformats.org/officeDocument/2006/relationships/hyperlink" Target="https://www.legislation.gov.au/C2004A01224/" TargetMode="External"/><Relationship Id="rId188" Type="http://schemas.openxmlformats.org/officeDocument/2006/relationships/hyperlink" Target="https://www.legislation.gov.au/C2004A01224/" TargetMode="External"/><Relationship Id="rId311" Type="http://schemas.openxmlformats.org/officeDocument/2006/relationships/hyperlink" Target="mailto:compilations@opc.gov.au" TargetMode="External"/><Relationship Id="rId353" Type="http://schemas.openxmlformats.org/officeDocument/2006/relationships/hyperlink" Target="https://www.legislation.gov.au/C2004A01224/latest/text" TargetMode="External"/><Relationship Id="rId395" Type="http://schemas.openxmlformats.org/officeDocument/2006/relationships/hyperlink" Target="https://www.legislation.gov.au/C2004A01224/" TargetMode="External"/><Relationship Id="rId409" Type="http://schemas.openxmlformats.org/officeDocument/2006/relationships/footer" Target="footer10.xml"/><Relationship Id="rId560" Type="http://schemas.openxmlformats.org/officeDocument/2006/relationships/hyperlink" Target="https://www.legislation.gov.au/latest/C2016C00186" TargetMode="External"/><Relationship Id="rId92" Type="http://schemas.openxmlformats.org/officeDocument/2006/relationships/hyperlink" Target="https://www.legislation.gov.au/F2015L01475/latest/text" TargetMode="External"/><Relationship Id="rId213" Type="http://schemas.openxmlformats.org/officeDocument/2006/relationships/hyperlink" Target="https://www.w3.org/WAI/standards-guidelines/wcag/" TargetMode="External"/><Relationship Id="rId420" Type="http://schemas.openxmlformats.org/officeDocument/2006/relationships/hyperlink" Target="https://www.legislation.gov.au/C2004A01224/latest/text" TargetMode="External"/><Relationship Id="rId616" Type="http://schemas.openxmlformats.org/officeDocument/2006/relationships/hyperlink" Target="https://www.opc.gov.au/publications/opcs-drafting-services-guide-clients" TargetMode="External"/><Relationship Id="rId255" Type="http://schemas.openxmlformats.org/officeDocument/2006/relationships/hyperlink" Target="https://www.legislation.gov.au/C2004A01224/" TargetMode="External"/><Relationship Id="rId297" Type="http://schemas.openxmlformats.org/officeDocument/2006/relationships/hyperlink" Target="https://www.legislation.gov.au/C2004A01224/" TargetMode="External"/><Relationship Id="rId462" Type="http://schemas.openxmlformats.org/officeDocument/2006/relationships/hyperlink" Target="http://www.comlaw.gov.au/Current/C2013C00032" TargetMode="External"/><Relationship Id="rId518" Type="http://schemas.openxmlformats.org/officeDocument/2006/relationships/hyperlink" Target="https://www.legislation.gov.au/C2004A01224/latest/text" TargetMode="External"/><Relationship Id="rId115" Type="http://schemas.openxmlformats.org/officeDocument/2006/relationships/hyperlink" Target="https://www.legislation.gov.au/latest/F2015L01475" TargetMode="External"/><Relationship Id="rId157" Type="http://schemas.openxmlformats.org/officeDocument/2006/relationships/hyperlink" Target="https://www.legislation.gov.au/C2004A01224/" TargetMode="External"/><Relationship Id="rId322" Type="http://schemas.openxmlformats.org/officeDocument/2006/relationships/hyperlink" Target="https://www.legislation.gov.au/C1901A00002/latest/text" TargetMode="External"/><Relationship Id="rId364" Type="http://schemas.openxmlformats.org/officeDocument/2006/relationships/hyperlink" Target="https://www.legislation.gov.au/latest/C2016C00186" TargetMode="External"/><Relationship Id="rId61" Type="http://schemas.openxmlformats.org/officeDocument/2006/relationships/hyperlink" Target="https://www.legislation.gov.au/C2004A01224/" TargetMode="External"/><Relationship Id="rId199" Type="http://schemas.openxmlformats.org/officeDocument/2006/relationships/hyperlink" Target="https://www.comlaw.gov.au/Current/F2015L01475/" TargetMode="External"/><Relationship Id="rId571" Type="http://schemas.openxmlformats.org/officeDocument/2006/relationships/hyperlink" Target="mailto:sunsetting@ag.gov.au" TargetMode="External"/><Relationship Id="rId627" Type="http://schemas.openxmlformats.org/officeDocument/2006/relationships/hyperlink" Target="mailto:sunsetting@opc.gov.au" TargetMode="External"/><Relationship Id="rId19" Type="http://schemas.openxmlformats.org/officeDocument/2006/relationships/hyperlink" Target="https://www.legislation.gov.au/C2004A01224/" TargetMode="External"/><Relationship Id="rId224" Type="http://schemas.openxmlformats.org/officeDocument/2006/relationships/hyperlink" Target="https://www.opc.gov.au/drafting-resources/drafting-directions" TargetMode="External"/><Relationship Id="rId266" Type="http://schemas.openxmlformats.org/officeDocument/2006/relationships/hyperlink" Target="https://www.legislation.gov.au/latest/C2016C00186" TargetMode="External"/><Relationship Id="rId431" Type="http://schemas.openxmlformats.org/officeDocument/2006/relationships/hyperlink" Target="https://www.legislation.gov.au/latest/C2016C00186" TargetMode="External"/><Relationship Id="rId473" Type="http://schemas.openxmlformats.org/officeDocument/2006/relationships/hyperlink" Target="https://www.legislation.gov.au/latest/C2016C00186" TargetMode="External"/><Relationship Id="rId529" Type="http://schemas.openxmlformats.org/officeDocument/2006/relationships/hyperlink" Target="https://www.legislation.gov.au/latest/C2016C00186" TargetMode="External"/><Relationship Id="rId30" Type="http://schemas.openxmlformats.org/officeDocument/2006/relationships/hyperlink" Target="https://www.legislation.gov.au/C2004A01224/" TargetMode="External"/><Relationship Id="rId126" Type="http://schemas.openxmlformats.org/officeDocument/2006/relationships/hyperlink" Target="https://www.opc.gov.au/drafting-resources/client-advisers" TargetMode="External"/><Relationship Id="rId168" Type="http://schemas.openxmlformats.org/officeDocument/2006/relationships/hyperlink" Target="https://www.legislation.gov.au/C2004A01224/" TargetMode="External"/><Relationship Id="rId333" Type="http://schemas.openxmlformats.org/officeDocument/2006/relationships/hyperlink" Target="https://www.legislation.gov.au/C2004A01224/" TargetMode="External"/><Relationship Id="rId540" Type="http://schemas.openxmlformats.org/officeDocument/2006/relationships/hyperlink" Target="https://www.comlaw.gov.au/Current/F2015L01475/" TargetMode="External"/><Relationship Id="rId72" Type="http://schemas.openxmlformats.org/officeDocument/2006/relationships/hyperlink" Target="https://www.legislation.gov.au/F2015L01475/latest/text" TargetMode="External"/><Relationship Id="rId375" Type="http://schemas.openxmlformats.org/officeDocument/2006/relationships/hyperlink" Target="https://www.legislation.gov.au/C1901A00002/latest/text" TargetMode="External"/><Relationship Id="rId582" Type="http://schemas.openxmlformats.org/officeDocument/2006/relationships/hyperlink" Target="mailto:sunsetting@ag.gov.au" TargetMode="External"/><Relationship Id="rId638" Type="http://schemas.openxmlformats.org/officeDocument/2006/relationships/hyperlink" Target="mailto:tabling@pmc.gov.au" TargetMode="External"/><Relationship Id="rId3" Type="http://schemas.openxmlformats.org/officeDocument/2006/relationships/styles" Target="styles.xml"/><Relationship Id="rId235" Type="http://schemas.openxmlformats.org/officeDocument/2006/relationships/hyperlink" Target="https://lodge.legislation.gov.au" TargetMode="External"/><Relationship Id="rId277" Type="http://schemas.openxmlformats.org/officeDocument/2006/relationships/hyperlink" Target="https://www.legislation.gov.au/C2004A01224/" TargetMode="External"/><Relationship Id="rId400" Type="http://schemas.openxmlformats.org/officeDocument/2006/relationships/hyperlink" Target="http://www.comlaw.gov.au/Current/C2013C00032" TargetMode="External"/><Relationship Id="rId442" Type="http://schemas.openxmlformats.org/officeDocument/2006/relationships/hyperlink" Target="https://www.legislation.gov.au/latest/C2016C00186" TargetMode="External"/><Relationship Id="rId484" Type="http://schemas.openxmlformats.org/officeDocument/2006/relationships/hyperlink" Target="https://www.legislation.gov.au/C2004A01224/latest/text" TargetMode="External"/><Relationship Id="rId137" Type="http://schemas.openxmlformats.org/officeDocument/2006/relationships/hyperlink" Target="https://www.legislation.gov.au/C2004A01224/" TargetMode="External"/><Relationship Id="rId302" Type="http://schemas.openxmlformats.org/officeDocument/2006/relationships/hyperlink" Target="mailto:compilations@opc.gov.au" TargetMode="External"/><Relationship Id="rId344" Type="http://schemas.openxmlformats.org/officeDocument/2006/relationships/hyperlink" Target="http://www.comlaw.gov.au/Current/C2004A01224" TargetMode="External"/><Relationship Id="rId41" Type="http://schemas.openxmlformats.org/officeDocument/2006/relationships/hyperlink" Target="https://www.legislation.gov.au/C2004A01224/" TargetMode="External"/><Relationship Id="rId83" Type="http://schemas.openxmlformats.org/officeDocument/2006/relationships/hyperlink" Target="https://www.legislation.gov.au/latest/F2015L01475" TargetMode="External"/><Relationship Id="rId179" Type="http://schemas.openxmlformats.org/officeDocument/2006/relationships/hyperlink" Target="https://www.legislation.gov.au/latest/C2016C00151" TargetMode="External"/><Relationship Id="rId386" Type="http://schemas.openxmlformats.org/officeDocument/2006/relationships/hyperlink" Target="https://www.legislation.gov.au/latest/C2016C00186" TargetMode="External"/><Relationship Id="rId551" Type="http://schemas.openxmlformats.org/officeDocument/2006/relationships/hyperlink" Target="https://lodge.legislation.gov.au" TargetMode="External"/><Relationship Id="rId593" Type="http://schemas.openxmlformats.org/officeDocument/2006/relationships/hyperlink" Target="https://www.legislation.gov.au/latest/C2016C00186" TargetMode="External"/><Relationship Id="rId607" Type="http://schemas.openxmlformats.org/officeDocument/2006/relationships/hyperlink" Target="https://www.ag.gov.au/LegalSystem/AdministrativeLaw/Pages/LegislationAct2003.aspx" TargetMode="External"/><Relationship Id="rId649" Type="http://schemas.openxmlformats.org/officeDocument/2006/relationships/footer" Target="footer19.xml"/><Relationship Id="rId190" Type="http://schemas.openxmlformats.org/officeDocument/2006/relationships/hyperlink" Target="https://www.legislation.gov.au/C2004A01224/" TargetMode="External"/><Relationship Id="rId204" Type="http://schemas.openxmlformats.org/officeDocument/2006/relationships/hyperlink" Target="https://www.legislation.gov.au/C2004A01224/" TargetMode="External"/><Relationship Id="rId246" Type="http://schemas.openxmlformats.org/officeDocument/2006/relationships/hyperlink" Target="https://www.legislation.gov.au/C2004A01224/" TargetMode="External"/><Relationship Id="rId288" Type="http://schemas.openxmlformats.org/officeDocument/2006/relationships/hyperlink" Target="mailto:lodge@legislation.gov.au" TargetMode="External"/><Relationship Id="rId411" Type="http://schemas.openxmlformats.org/officeDocument/2006/relationships/hyperlink" Target="http://www.comlaw.gov.au/Current/C2013C00032" TargetMode="External"/><Relationship Id="rId453" Type="http://schemas.openxmlformats.org/officeDocument/2006/relationships/hyperlink" Target="http://www.comlaw.gov.au/Current/C2013C00032" TargetMode="External"/><Relationship Id="rId509" Type="http://schemas.openxmlformats.org/officeDocument/2006/relationships/hyperlink" Target="http://www.comlaw.gov.au/Current/C2013C00032" TargetMode="External"/><Relationship Id="rId106" Type="http://schemas.openxmlformats.org/officeDocument/2006/relationships/hyperlink" Target="https://www.legislation.gov.au/C2004A01224/" TargetMode="External"/><Relationship Id="rId313" Type="http://schemas.openxmlformats.org/officeDocument/2006/relationships/hyperlink" Target="https://www.legislation.gov.au/terms-of-use" TargetMode="External"/><Relationship Id="rId495" Type="http://schemas.openxmlformats.org/officeDocument/2006/relationships/hyperlink" Target="https://www.legislation.gov.au/C2004A01224/" TargetMode="External"/><Relationship Id="rId10" Type="http://schemas.openxmlformats.org/officeDocument/2006/relationships/image" Target="media/image2.png"/><Relationship Id="rId52" Type="http://schemas.openxmlformats.org/officeDocument/2006/relationships/hyperlink" Target="https://www.legislation.gov.au/C2004A01224/" TargetMode="External"/><Relationship Id="rId94" Type="http://schemas.openxmlformats.org/officeDocument/2006/relationships/hyperlink" Target="https://www.legislation.gov.au/F2015L01475/latest/text" TargetMode="External"/><Relationship Id="rId148" Type="http://schemas.openxmlformats.org/officeDocument/2006/relationships/hyperlink" Target="https://www.opc.gov.au/drafting-resources/drafting-directions" TargetMode="External"/><Relationship Id="rId355" Type="http://schemas.openxmlformats.org/officeDocument/2006/relationships/hyperlink" Target="https://www.legislation.gov.au/C2004A01224/" TargetMode="External"/><Relationship Id="rId397" Type="http://schemas.openxmlformats.org/officeDocument/2006/relationships/hyperlink" Target="http://www.comlaw.gov.au/Current/C2013C00032" TargetMode="External"/><Relationship Id="rId520" Type="http://schemas.openxmlformats.org/officeDocument/2006/relationships/hyperlink" Target="http://www.comlaw.gov.au/Current/C2013C00032" TargetMode="External"/><Relationship Id="rId562" Type="http://schemas.openxmlformats.org/officeDocument/2006/relationships/hyperlink" Target="http://www.comlaw.gov.au/Current/C2013C00032" TargetMode="External"/><Relationship Id="rId618" Type="http://schemas.openxmlformats.org/officeDocument/2006/relationships/hyperlink" Target="https://www.aph.gov.au/Parliamentary_Business/Committees/Senate/Regulations_and_Ordinances/Guidelines" TargetMode="External"/><Relationship Id="rId215" Type="http://schemas.openxmlformats.org/officeDocument/2006/relationships/hyperlink" Target="https://www.legislation.gov.au/terms-of-use" TargetMode="External"/><Relationship Id="rId257" Type="http://schemas.openxmlformats.org/officeDocument/2006/relationships/hyperlink" Target="https://www.legislation.gov.au/C2004A01224/" TargetMode="External"/><Relationship Id="rId422" Type="http://schemas.openxmlformats.org/officeDocument/2006/relationships/hyperlink" Target="https://www.legislation.gov.au/latest/C2016C00186" TargetMode="External"/><Relationship Id="rId464" Type="http://schemas.openxmlformats.org/officeDocument/2006/relationships/hyperlink" Target="https://www.legislation.gov.au/C2004A01224/" TargetMode="External"/><Relationship Id="rId299" Type="http://schemas.openxmlformats.org/officeDocument/2006/relationships/hyperlink" Target="https://www.legislation.gov.au/C2004A03712/latest/text" TargetMode="External"/><Relationship Id="rId63" Type="http://schemas.openxmlformats.org/officeDocument/2006/relationships/hyperlink" Target="https://www.legislation.gov.au/C2004A01224/" TargetMode="External"/><Relationship Id="rId159" Type="http://schemas.openxmlformats.org/officeDocument/2006/relationships/hyperlink" Target="https://www.legislation.gov.au/C2004A01224/" TargetMode="External"/><Relationship Id="rId366" Type="http://schemas.openxmlformats.org/officeDocument/2006/relationships/hyperlink" Target="http://www.comlaw.gov.au/Current/C2013C00032" TargetMode="External"/><Relationship Id="rId573" Type="http://schemas.openxmlformats.org/officeDocument/2006/relationships/hyperlink" Target="http://www.comlaw.gov.au/Current/C2013C00032" TargetMode="External"/><Relationship Id="rId226" Type="http://schemas.openxmlformats.org/officeDocument/2006/relationships/hyperlink" Target="https://www.opc.gov.au/drafting-resources/client-advisers" TargetMode="External"/><Relationship Id="rId433" Type="http://schemas.openxmlformats.org/officeDocument/2006/relationships/hyperlink" Target="https://www.legislation.gov.au/latest/C2016C00151" TargetMode="External"/><Relationship Id="rId640" Type="http://schemas.openxmlformats.org/officeDocument/2006/relationships/footer" Target="footer16.xml"/><Relationship Id="rId74" Type="http://schemas.openxmlformats.org/officeDocument/2006/relationships/hyperlink" Target="https://www.legislation.gov.au/C2004A01224/" TargetMode="External"/><Relationship Id="rId377" Type="http://schemas.openxmlformats.org/officeDocument/2006/relationships/hyperlink" Target="https://www.legislation.gov.au/C2004A05251/latest/text" TargetMode="External"/><Relationship Id="rId500" Type="http://schemas.openxmlformats.org/officeDocument/2006/relationships/hyperlink" Target="https://www.legislation.gov.au/C2004A01224/latest/text" TargetMode="External"/><Relationship Id="rId584" Type="http://schemas.openxmlformats.org/officeDocument/2006/relationships/hyperlink" Target="https://www.legislation.gov.au/C2004A01224/latest/text" TargetMode="External"/><Relationship Id="rId5" Type="http://schemas.openxmlformats.org/officeDocument/2006/relationships/webSettings" Target="webSettings.xml"/><Relationship Id="rId237" Type="http://schemas.openxmlformats.org/officeDocument/2006/relationships/hyperlink" Target="https://www.legislation.gov.au/F2026L00129/latest/text" TargetMode="External"/><Relationship Id="rId444" Type="http://schemas.openxmlformats.org/officeDocument/2006/relationships/hyperlink" Target="http://www.comlaw.gov.au/Current/C2013C00032" TargetMode="External"/><Relationship Id="rId651" Type="http://schemas.openxmlformats.org/officeDocument/2006/relationships/footer" Target="footer20.xml"/><Relationship Id="rId290" Type="http://schemas.openxmlformats.org/officeDocument/2006/relationships/hyperlink" Target="mailto:lodge@legislation.gov.au" TargetMode="External"/><Relationship Id="rId304" Type="http://schemas.openxmlformats.org/officeDocument/2006/relationships/hyperlink" Target="https://www.legislation.gov.au/F2026L00129/latest/text" TargetMode="External"/><Relationship Id="rId388" Type="http://schemas.openxmlformats.org/officeDocument/2006/relationships/hyperlink" Target="http://www.comlaw.gov.au/Current/C2013C00032" TargetMode="External"/><Relationship Id="rId511" Type="http://schemas.openxmlformats.org/officeDocument/2006/relationships/hyperlink" Target="https://www.legislation.gov.au/C2004A01224/latest/text" TargetMode="External"/><Relationship Id="rId609" Type="http://schemas.openxmlformats.org/officeDocument/2006/relationships/hyperlink" Target="https://www.apsacademy.gov.au/aps-craft/strategy-policy-evaluation/delivering-great-policy" TargetMode="External"/><Relationship Id="rId85" Type="http://schemas.openxmlformats.org/officeDocument/2006/relationships/hyperlink" Target="https://www.legislation.gov.au/latest/F2015L01475" TargetMode="External"/><Relationship Id="rId150" Type="http://schemas.openxmlformats.org/officeDocument/2006/relationships/image" Target="media/image5.png"/><Relationship Id="rId595" Type="http://schemas.openxmlformats.org/officeDocument/2006/relationships/hyperlink" Target="https://www.opc.gov.au/drafting-resources/client-advisers" TargetMode="External"/><Relationship Id="rId248" Type="http://schemas.openxmlformats.org/officeDocument/2006/relationships/hyperlink" Target="https://www.legislation.gov.au" TargetMode="External"/><Relationship Id="rId455" Type="http://schemas.openxmlformats.org/officeDocument/2006/relationships/hyperlink" Target="https://www.legislation.gov.au/latest/C2016C00186" TargetMode="External"/><Relationship Id="rId12" Type="http://schemas.openxmlformats.org/officeDocument/2006/relationships/hyperlink" Target="https://www.legislation.gov.au/C2004A01224/" TargetMode="External"/><Relationship Id="rId108" Type="http://schemas.openxmlformats.org/officeDocument/2006/relationships/hyperlink" Target="https://www.legislation.gov.au/C2004A01224/" TargetMode="External"/><Relationship Id="rId315" Type="http://schemas.openxmlformats.org/officeDocument/2006/relationships/hyperlink" Target="https://www.legislation.gov.au/latest/C2016C00186" TargetMode="External"/><Relationship Id="rId522" Type="http://schemas.openxmlformats.org/officeDocument/2006/relationships/header" Target="header8.xml"/><Relationship Id="rId96" Type="http://schemas.openxmlformats.org/officeDocument/2006/relationships/hyperlink" Target="https://www.legislation.gov.au/F2015L01475/latest/text" TargetMode="External"/><Relationship Id="rId161" Type="http://schemas.openxmlformats.org/officeDocument/2006/relationships/hyperlink" Target="https://www.legislation.gov.au/C2004A01224/" TargetMode="External"/><Relationship Id="rId399" Type="http://schemas.openxmlformats.org/officeDocument/2006/relationships/hyperlink" Target="https://www.legislation.gov.au/C2004A01224/latest/text" TargetMode="External"/><Relationship Id="rId259" Type="http://schemas.openxmlformats.org/officeDocument/2006/relationships/hyperlink" Target="https://www.legislation.gov.au/C2004A01224/" TargetMode="External"/><Relationship Id="rId466" Type="http://schemas.openxmlformats.org/officeDocument/2006/relationships/hyperlink" Target="http://www.comlaw.gov.au/Current/C2013C00032" TargetMode="External"/><Relationship Id="rId23" Type="http://schemas.openxmlformats.org/officeDocument/2006/relationships/hyperlink" Target="https://www.legislation.gov.au/C2015A00010/" TargetMode="External"/><Relationship Id="rId119" Type="http://schemas.openxmlformats.org/officeDocument/2006/relationships/hyperlink" Target="https://www.legislation.gov.au/F2026L00129/latest/text" TargetMode="External"/><Relationship Id="rId326" Type="http://schemas.openxmlformats.org/officeDocument/2006/relationships/hyperlink" Target="https://www.legislation.gov.au/C2004A01224/" TargetMode="External"/><Relationship Id="rId533" Type="http://schemas.openxmlformats.org/officeDocument/2006/relationships/hyperlink" Target="https://www.legislation.gov.au/latest/C2016C00186" TargetMode="External"/><Relationship Id="rId172" Type="http://schemas.openxmlformats.org/officeDocument/2006/relationships/hyperlink" Target="https://www.legislation.gov.au/latest/C2016C00151" TargetMode="External"/><Relationship Id="rId477" Type="http://schemas.openxmlformats.org/officeDocument/2006/relationships/hyperlink" Target="http://www.comlaw.gov.au/Current/C2013C00032" TargetMode="External"/><Relationship Id="rId600" Type="http://schemas.openxmlformats.org/officeDocument/2006/relationships/hyperlink" Target="https://www.legislation.gov.au/C1901A00002/latest/text" TargetMode="External"/><Relationship Id="rId337" Type="http://schemas.openxmlformats.org/officeDocument/2006/relationships/hyperlink" Target="https://www.legislation.gov.au/C2004A01224/" TargetMode="External"/><Relationship Id="rId34" Type="http://schemas.openxmlformats.org/officeDocument/2006/relationships/footer" Target="footer4.xml"/><Relationship Id="rId544" Type="http://schemas.openxmlformats.org/officeDocument/2006/relationships/hyperlink" Target="http://www.comlaw.gov.au/Current/C2013C00032" TargetMode="External"/><Relationship Id="rId183" Type="http://schemas.openxmlformats.org/officeDocument/2006/relationships/hyperlink" Target="https://www.legislation.gov.au/C2004A01224/" TargetMode="External"/><Relationship Id="rId390" Type="http://schemas.openxmlformats.org/officeDocument/2006/relationships/hyperlink" Target="https://www.legislation.gov.au/C2004A01224/latest/text" TargetMode="External"/><Relationship Id="rId404" Type="http://schemas.openxmlformats.org/officeDocument/2006/relationships/hyperlink" Target="https://www.legislation.gov.au/latest/C2016C00186" TargetMode="External"/><Relationship Id="rId611" Type="http://schemas.openxmlformats.org/officeDocument/2006/relationships/hyperlink" Target="https://www.pmc.gov.au/resources/tabling-guidelines" TargetMode="External"/><Relationship Id="rId250" Type="http://schemas.openxmlformats.org/officeDocument/2006/relationships/hyperlink" Target="https://www.opc.gov.au/" TargetMode="External"/><Relationship Id="rId488" Type="http://schemas.openxmlformats.org/officeDocument/2006/relationships/hyperlink" Target="http://www.comlaw.gov.au/Current/C2013C00032" TargetMode="External"/><Relationship Id="rId45" Type="http://schemas.openxmlformats.org/officeDocument/2006/relationships/hyperlink" Target="https://www.legislation.gov.au/C2004A01224/" TargetMode="External"/><Relationship Id="rId110" Type="http://schemas.openxmlformats.org/officeDocument/2006/relationships/hyperlink" Target="https://www.legislation.gov.au/C2004A01224/" TargetMode="External"/><Relationship Id="rId348" Type="http://schemas.openxmlformats.org/officeDocument/2006/relationships/hyperlink" Target="https://www.legislation.gov.au/C2004A01224/latest/text" TargetMode="External"/><Relationship Id="rId555" Type="http://schemas.openxmlformats.org/officeDocument/2006/relationships/hyperlink" Target="https://www.legislation.gov.au/C2004A01224/" TargetMode="External"/><Relationship Id="rId194" Type="http://schemas.openxmlformats.org/officeDocument/2006/relationships/hyperlink" Target="https://www.legislation.gov.au/C2004A01224/" TargetMode="External"/><Relationship Id="rId208" Type="http://schemas.openxmlformats.org/officeDocument/2006/relationships/hyperlink" Target="https://www.legislation.gov.au/F2026L00129/latest/text" TargetMode="External"/><Relationship Id="rId415" Type="http://schemas.openxmlformats.org/officeDocument/2006/relationships/hyperlink" Target="http://www.comlaw.gov.au/Current/C2013C00032" TargetMode="External"/><Relationship Id="rId622" Type="http://schemas.openxmlformats.org/officeDocument/2006/relationships/footer" Target="footer15.xml"/><Relationship Id="rId261" Type="http://schemas.openxmlformats.org/officeDocument/2006/relationships/header" Target="header4.xml"/><Relationship Id="rId499" Type="http://schemas.openxmlformats.org/officeDocument/2006/relationships/hyperlink" Target="https://www.legislation.gov.au/latest/C2016C00186" TargetMode="External"/><Relationship Id="rId56" Type="http://schemas.openxmlformats.org/officeDocument/2006/relationships/hyperlink" Target="https://www.legislation.gov.au/C2004A01224/" TargetMode="External"/><Relationship Id="rId359" Type="http://schemas.openxmlformats.org/officeDocument/2006/relationships/hyperlink" Target="https://www.legislation.gov.au/C2004A01224/" TargetMode="External"/><Relationship Id="rId566" Type="http://schemas.openxmlformats.org/officeDocument/2006/relationships/hyperlink" Target="http://www.comlaw.gov.au/Current/C2013C00032" TargetMode="External"/><Relationship Id="rId121" Type="http://schemas.openxmlformats.org/officeDocument/2006/relationships/footer" Target="footer5.xml"/><Relationship Id="rId219" Type="http://schemas.openxmlformats.org/officeDocument/2006/relationships/hyperlink" Target="https://www.legislation.gov.au/F2026L00129/latest/text" TargetMode="External"/><Relationship Id="rId426" Type="http://schemas.openxmlformats.org/officeDocument/2006/relationships/hyperlink" Target="https://www.legislation.gov.au/C2004A01224/latest/text" TargetMode="External"/><Relationship Id="rId633" Type="http://schemas.openxmlformats.org/officeDocument/2006/relationships/hyperlink" Target="mailto:sunsetting@ag.gov.au" TargetMode="External"/><Relationship Id="rId67" Type="http://schemas.openxmlformats.org/officeDocument/2006/relationships/hyperlink" Target="https://www.legislation.gov.au/C2004A01224/" TargetMode="External"/><Relationship Id="rId272" Type="http://schemas.openxmlformats.org/officeDocument/2006/relationships/hyperlink" Target="https://www.legislation.gov.au/C2004A01224/" TargetMode="External"/><Relationship Id="rId577" Type="http://schemas.openxmlformats.org/officeDocument/2006/relationships/hyperlink" Target="http://www.comlaw.gov.au/Current/C2013C00032" TargetMode="External"/><Relationship Id="rId132" Type="http://schemas.openxmlformats.org/officeDocument/2006/relationships/hyperlink" Target="https://www.legislation.gov.au/C2004A01224/" TargetMode="External"/><Relationship Id="rId437" Type="http://schemas.openxmlformats.org/officeDocument/2006/relationships/hyperlink" Target="https://www.legislation.gov.au/C2004A01224/latest/text" TargetMode="External"/><Relationship Id="rId644" Type="http://schemas.openxmlformats.org/officeDocument/2006/relationships/hyperlink" Target="mailto:sdlc.sen@aph.gov.au" TargetMode="External"/><Relationship Id="rId283" Type="http://schemas.openxmlformats.org/officeDocument/2006/relationships/hyperlink" Target="https://www.legislation.gov.au/C2004A01224/" TargetMode="External"/><Relationship Id="rId490" Type="http://schemas.openxmlformats.org/officeDocument/2006/relationships/hyperlink" Target="https://www.legislation.gov.au/latest/C2016C00186" TargetMode="External"/><Relationship Id="rId504" Type="http://schemas.openxmlformats.org/officeDocument/2006/relationships/hyperlink" Target="https://www.legislation.gov.au/C2004A01224/latest/text" TargetMode="External"/><Relationship Id="rId78" Type="http://schemas.openxmlformats.org/officeDocument/2006/relationships/hyperlink" Target="https://www.legislation.gov.au/C2004A01224/" TargetMode="External"/><Relationship Id="rId143" Type="http://schemas.openxmlformats.org/officeDocument/2006/relationships/hyperlink" Target="https://www.legislation.gov.au/F2026L00129/latest/text" TargetMode="External"/><Relationship Id="rId350" Type="http://schemas.openxmlformats.org/officeDocument/2006/relationships/hyperlink" Target="https://www.legislation.gov.au/C2004A01224/latest/text" TargetMode="External"/><Relationship Id="rId588" Type="http://schemas.openxmlformats.org/officeDocument/2006/relationships/hyperlink" Target="http://www.comlaw.gov.au/Current/C2013C00032" TargetMode="External"/><Relationship Id="rId9" Type="http://schemas.openxmlformats.org/officeDocument/2006/relationships/customXml" Target="ink/ink1.xml"/><Relationship Id="rId210" Type="http://schemas.openxmlformats.org/officeDocument/2006/relationships/hyperlink" Target="mailto:compilations@opc.gov.au" TargetMode="External"/><Relationship Id="rId448" Type="http://schemas.openxmlformats.org/officeDocument/2006/relationships/hyperlink" Target="https://www.legislation.gov.au/C2004A01224/latest/text" TargetMode="External"/><Relationship Id="rId294" Type="http://schemas.openxmlformats.org/officeDocument/2006/relationships/hyperlink" Target="https://www.legislation.gov.au/C2004A01224/" TargetMode="External"/><Relationship Id="rId308" Type="http://schemas.openxmlformats.org/officeDocument/2006/relationships/hyperlink" Target="https://www.legislation.gov.au/terms-of-use" TargetMode="External"/><Relationship Id="rId515" Type="http://schemas.openxmlformats.org/officeDocument/2006/relationships/hyperlink" Target="https://www.legislation.gov.au/C2004A01224/latest/text" TargetMode="External"/><Relationship Id="rId89" Type="http://schemas.openxmlformats.org/officeDocument/2006/relationships/hyperlink" Target="https://www.legislation.gov.au/latest/F2015L01475" TargetMode="External"/><Relationship Id="rId154" Type="http://schemas.openxmlformats.org/officeDocument/2006/relationships/hyperlink" Target="https://www.legislation.gov.au/F2015L01475/latest/text" TargetMode="External"/><Relationship Id="rId361" Type="http://schemas.openxmlformats.org/officeDocument/2006/relationships/hyperlink" Target="http://www.comlaw.gov.au/Current/C2013C00032" TargetMode="External"/><Relationship Id="rId599" Type="http://schemas.openxmlformats.org/officeDocument/2006/relationships/footer" Target="footer13.xml"/><Relationship Id="rId459" Type="http://schemas.openxmlformats.org/officeDocument/2006/relationships/hyperlink" Target="https://www.legislation.gov.au/latest/C2016C00186" TargetMode="External"/><Relationship Id="rId16" Type="http://schemas.openxmlformats.org/officeDocument/2006/relationships/hyperlink" Target="mailto:lodge@legislation.gov.au" TargetMode="External"/><Relationship Id="rId221" Type="http://schemas.openxmlformats.org/officeDocument/2006/relationships/hyperlink" Target="https://www.legislation.gov.au/C2004A01224/latest/text" TargetMode="External"/><Relationship Id="rId319" Type="http://schemas.openxmlformats.org/officeDocument/2006/relationships/hyperlink" Target="https://www.legislation.gov.au/F2025L01591/asmade/text" TargetMode="External"/><Relationship Id="rId526" Type="http://schemas.openxmlformats.org/officeDocument/2006/relationships/hyperlink" Target="https://www.legislation.gov.au/C2004A01224/latest/text"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s://www.dta.gov.au/help-and-advice/guides-and-tools/commonwealth-library-deposit-and-free-issue-schemes" TargetMode="External"/><Relationship Id="rId18" Type="http://schemas.openxmlformats.org/officeDocument/2006/relationships/hyperlink" Target="https://www.ag.gov.au/LegalSystem/AdministrativeLaw/Pages/LegislationAct2003.aspx" TargetMode="External"/><Relationship Id="rId26" Type="http://schemas.openxmlformats.org/officeDocument/2006/relationships/hyperlink" Target="https://oia.pmc.gov.au/" TargetMode="External"/><Relationship Id="rId39" Type="http://schemas.openxmlformats.org/officeDocument/2006/relationships/hyperlink" Target="https://www.pmc.gov.au/resources/tabling-guidelines" TargetMode="External"/><Relationship Id="rId21" Type="http://schemas.openxmlformats.org/officeDocument/2006/relationships/hyperlink" Target="https://www.aph.gov.au/Parliamentary_Business/Committees/Senate/Regulations_and_Ordinances" TargetMode="External"/><Relationship Id="rId34" Type="http://schemas.openxmlformats.org/officeDocument/2006/relationships/hyperlink" Target="https://www.ag.gov.au/rights-and-protections/human-rights-and-anti-discrimination/human-rights-scrutiny" TargetMode="External"/><Relationship Id="rId42" Type="http://schemas.openxmlformats.org/officeDocument/2006/relationships/hyperlink" Target="http://www.judgments.fedcourt.gov.au/judgments/Judgments/fca/single/2015/2015fca0834" TargetMode="External"/><Relationship Id="rId47" Type="http://schemas.openxmlformats.org/officeDocument/2006/relationships/hyperlink" Target="https://www.legislation.gov.au/legislative-instruments/sunsetting" TargetMode="External"/><Relationship Id="rId50" Type="http://schemas.openxmlformats.org/officeDocument/2006/relationships/hyperlink" Target="https://www.ag.gov.au/legal-system/administrative-law/legislation-act-2003" TargetMode="External"/><Relationship Id="rId55" Type="http://schemas.openxmlformats.org/officeDocument/2006/relationships/hyperlink" Target="https://www.pmc.gov.au/sites/default/files/publications/pmc-tabling-guidelines.pdf" TargetMode="External"/><Relationship Id="rId7" Type="http://schemas.openxmlformats.org/officeDocument/2006/relationships/hyperlink" Target="https://parlinfo.aph.gov.au/" TargetMode="External"/><Relationship Id="rId2" Type="http://schemas.openxmlformats.org/officeDocument/2006/relationships/hyperlink" Target="https://catalogue.nla.gov.au/catalog/1846835" TargetMode="External"/><Relationship Id="rId16" Type="http://schemas.openxmlformats.org/officeDocument/2006/relationships/hyperlink" Target="https://www.protectivesecurity.gov.au/" TargetMode="External"/><Relationship Id="rId29" Type="http://schemas.openxmlformats.org/officeDocument/2006/relationships/hyperlink" Target="https://www.ag.gov.au/rights-and-protections/human-rights-and-anti-discrimination/human-rights-scrutiny" TargetMode="External"/><Relationship Id="rId11" Type="http://schemas.openxmlformats.org/officeDocument/2006/relationships/hyperlink" Target="https://www.opc.gov.au/sites/default/files/2024-04/Fact%20Sheet%20-%20Amending%20Instruments_0.pdf" TargetMode="External"/><Relationship Id="rId24" Type="http://schemas.openxmlformats.org/officeDocument/2006/relationships/hyperlink" Target="https://oia.pmc.gov.au/resources/guidance-oia-procedures/sunsetting-legislative-instruments" TargetMode="External"/><Relationship Id="rId32" Type="http://schemas.openxmlformats.org/officeDocument/2006/relationships/hyperlink" Target="https://www.ag.gov.au/legal-system/publications/guide-framing-commonwealth-offences-infringement-notices-and-enforcement-powers" TargetMode="External"/><Relationship Id="rId37" Type="http://schemas.openxmlformats.org/officeDocument/2006/relationships/hyperlink" Target="https://www.aph.gov.au/Parliamentary_Business/Chamber_documents/Senate_chamber_documents/Journals_of_the_Senate" TargetMode="External"/><Relationship Id="rId40" Type="http://schemas.openxmlformats.org/officeDocument/2006/relationships/hyperlink" Target="https://www.aph.gov.au/Parliamentary_Business/Bills_Legislation/Disallowance_Alert" TargetMode="External"/><Relationship Id="rId45" Type="http://schemas.openxmlformats.org/officeDocument/2006/relationships/hyperlink" Target="https://www.legislation.gov.au/help-and-resources/understanding-legislation/sunsetting-lists" TargetMode="External"/><Relationship Id="rId53" Type="http://schemas.openxmlformats.org/officeDocument/2006/relationships/hyperlink" Target="https://www.ag.gov.au/LegalSystem/AdministrativeLaw/Pages/LegislationAct2003.aspx" TargetMode="External"/><Relationship Id="rId58" Type="http://schemas.openxmlformats.org/officeDocument/2006/relationships/hyperlink" Target="https://www.pmc.gov.au/resource-centre/government/legislation-handbook" TargetMode="External"/><Relationship Id="rId5" Type="http://schemas.openxmlformats.org/officeDocument/2006/relationships/hyperlink" Target="https://www.opc.gov.au/sites/default/files/2023-09/Fact%20Sheet%20-%20Legislative%20Instruments.pdf" TargetMode="External"/><Relationship Id="rId19" Type="http://schemas.openxmlformats.org/officeDocument/2006/relationships/hyperlink" Target="https://www.ag.gov.au/legal-system/administrative-law/legislation-act-2003" TargetMode="External"/><Relationship Id="rId4" Type="http://schemas.openxmlformats.org/officeDocument/2006/relationships/hyperlink" Target="https://www.ag.gov.au/legal-system/publications/report-operation-sunsetting-provisions-legislation-act-2003" TargetMode="External"/><Relationship Id="rId9" Type="http://schemas.openxmlformats.org/officeDocument/2006/relationships/hyperlink" Target="https://www.opc.gov.au/sites/default/files/2024-04/Essentials%20of%20a%20legislative%20instrument.pdf" TargetMode="External"/><Relationship Id="rId14" Type="http://schemas.openxmlformats.org/officeDocument/2006/relationships/hyperlink" Target="https://www.ag.gov.au/legal-system/publications/guide-framing-commonwealth-offences-infringement-notices-and-enforcement-powers" TargetMode="External"/><Relationship Id="rId22" Type="http://schemas.openxmlformats.org/officeDocument/2006/relationships/hyperlink" Target="https://oia.pmc.gov.au/resources/forms-and-templates/australian-government-impact-analysis-preliminary-assessment-form" TargetMode="External"/><Relationship Id="rId27" Type="http://schemas.openxmlformats.org/officeDocument/2006/relationships/hyperlink" Target="https://www.pmc.gov.au/publications/guidance-caretaker-conventions" TargetMode="External"/><Relationship Id="rId30" Type="http://schemas.openxmlformats.org/officeDocument/2006/relationships/hyperlink" Target="https://oia.pmc.gov.au/resources/guidance-impact-analysis/australian-government-guide-policy-impact-analysis" TargetMode="External"/><Relationship Id="rId35" Type="http://schemas.openxmlformats.org/officeDocument/2006/relationships/hyperlink" Target="https://www.aph.gov.au/Parliamentary_Business/Committees/Joint/Human_Rights" TargetMode="External"/><Relationship Id="rId43" Type="http://schemas.openxmlformats.org/officeDocument/2006/relationships/hyperlink" Target="https://www.ag.gov.au/legal-system/administrative-law/legislation-act-2003" TargetMode="External"/><Relationship Id="rId48" Type="http://schemas.openxmlformats.org/officeDocument/2006/relationships/hyperlink" Target="https://www.ag.gov.au/legal-system/administrative-law/legislation-act-2003" TargetMode="External"/><Relationship Id="rId56" Type="http://schemas.openxmlformats.org/officeDocument/2006/relationships/hyperlink" Target="https://www.pmc.gov.au/resources/tabling-guidelines" TargetMode="External"/><Relationship Id="rId8" Type="http://schemas.openxmlformats.org/officeDocument/2006/relationships/hyperlink" Target="https://www.pmc.gov.au/resources/legislation-handbook" TargetMode="External"/><Relationship Id="rId51" Type="http://schemas.openxmlformats.org/officeDocument/2006/relationships/hyperlink" Target="https://www.ag.gov.au/LegalSystem/AdministrativeLaw/Pages/LegislationAct2003.aspx" TargetMode="External"/><Relationship Id="rId3" Type="http://schemas.openxmlformats.org/officeDocument/2006/relationships/hyperlink" Target="https://www.ag.gov.au/legal-system/administrative-law/legislation-act-2003" TargetMode="External"/><Relationship Id="rId12" Type="http://schemas.openxmlformats.org/officeDocument/2006/relationships/hyperlink" Target="https://www.ag.gov.au/legal-system/administrative-law/legislation-act-2003" TargetMode="External"/><Relationship Id="rId17" Type="http://schemas.openxmlformats.org/officeDocument/2006/relationships/hyperlink" Target="https://www.legislation.gov.au/C2004A00538/latest/text" TargetMode="External"/><Relationship Id="rId25" Type="http://schemas.openxmlformats.org/officeDocument/2006/relationships/hyperlink" Target="https://oia.pmc.gov.au/resources/guidance-impact-analysis/australian-government-guide-policy-impact-analysis" TargetMode="External"/><Relationship Id="rId33" Type="http://schemas.openxmlformats.org/officeDocument/2006/relationships/hyperlink" Target="https://www.aph.gov.au/Parliamentary_Business/Committees/Senate/Regulations_and_Ordinances" TargetMode="External"/><Relationship Id="rId38" Type="http://schemas.openxmlformats.org/officeDocument/2006/relationships/hyperlink" Target="https://www.aph.gov.au/Parliamentary_Business/Chamber_documents/HoR/Votes_and_Proceedings" TargetMode="External"/><Relationship Id="rId46" Type="http://schemas.openxmlformats.org/officeDocument/2006/relationships/hyperlink" Target="https://www.pmc.gov.au/resources/tabling-guidelines" TargetMode="External"/><Relationship Id="rId59" Type="http://schemas.openxmlformats.org/officeDocument/2006/relationships/hyperlink" Target="https://www.pmc.gov.au/resources/legislation-handbook" TargetMode="External"/><Relationship Id="rId20" Type="http://schemas.openxmlformats.org/officeDocument/2006/relationships/hyperlink" Target="https://www.pmc.gov.au/resources/federal-executive-council-handbook-2021" TargetMode="External"/><Relationship Id="rId41" Type="http://schemas.openxmlformats.org/officeDocument/2006/relationships/hyperlink" Target="http://www.austlii.edu.au/au/cases/cth/HCA/1943/21.html" TargetMode="External"/><Relationship Id="rId54" Type="http://schemas.openxmlformats.org/officeDocument/2006/relationships/hyperlink" Target="https://www.ag.gov.au/legal-system/administrative-law/legislation-act-2003" TargetMode="External"/><Relationship Id="rId1" Type="http://schemas.openxmlformats.org/officeDocument/2006/relationships/hyperlink" Target="https://www.pmc.gov.au/resources/legislation-handbook" TargetMode="External"/><Relationship Id="rId6" Type="http://schemas.openxmlformats.org/officeDocument/2006/relationships/hyperlink" Target="https://www.aph.gov.au/Parliamentary_Business/Bills_Legislation" TargetMode="External"/><Relationship Id="rId15" Type="http://schemas.openxmlformats.org/officeDocument/2006/relationships/hyperlink" Target="https://www.protectivesecurity.gov.au/system/files/2025-12/pspf-release-2025-guidelines.pdf" TargetMode="External"/><Relationship Id="rId23" Type="http://schemas.openxmlformats.org/officeDocument/2006/relationships/hyperlink" Target="https://oia.pmc.gov.au/resources/guidance-impact-analysis/australian-government-guide-policy-impact-analysis" TargetMode="External"/><Relationship Id="rId28" Type="http://schemas.openxmlformats.org/officeDocument/2006/relationships/hyperlink" Target="https://www.pmc.gov.au/resources/federal-executive-council-handbook-2021" TargetMode="External"/><Relationship Id="rId36" Type="http://schemas.openxmlformats.org/officeDocument/2006/relationships/hyperlink" Target="https://www.ag.gov.au/legal-system/administrative-law/legislation-act-2003" TargetMode="External"/><Relationship Id="rId49" Type="http://schemas.openxmlformats.org/officeDocument/2006/relationships/hyperlink" Target="https://www.ag.gov.au/LegalSystem/AdministrativeLaw/Pages/LegislationAct2003.aspx" TargetMode="External"/><Relationship Id="rId57" Type="http://schemas.openxmlformats.org/officeDocument/2006/relationships/hyperlink" Target="https://www.opc.gov.au/sites/default/files/2024-01/Instrument%20Drafting%20Guidance%20Note%20No.%201.4%20-%20Timeframes%20for%20the%20development%20of%20instruments_0.pdf" TargetMode="External"/><Relationship Id="rId10" Type="http://schemas.openxmlformats.org/officeDocument/2006/relationships/hyperlink" Target="https://www.pmc.gov.au/resources/federal-executive-council-handbook-2021" TargetMode="External"/><Relationship Id="rId31" Type="http://schemas.openxmlformats.org/officeDocument/2006/relationships/hyperlink" Target="https://www.ag.gov.au/legal-system/publications/what-decisions-should-be-subject-merit-review-1999" TargetMode="External"/><Relationship Id="rId44" Type="http://schemas.openxmlformats.org/officeDocument/2006/relationships/hyperlink" Target="https://www.ag.gov.au/legal-system/administrative-law/legislation-act-2003" TargetMode="External"/><Relationship Id="rId52" Type="http://schemas.openxmlformats.org/officeDocument/2006/relationships/hyperlink" Target="https://www.ag.gov.au/legal-system/administrative-law/legislation-act-200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OPC\Word\Template.OPC\Memos\m_intnal.dotx" TargetMode="Externa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11-07T04:43:43.662"/>
    </inkml:context>
    <inkml:brush xml:id="br0">
      <inkml:brushProperty name="width" value="0.05" units="cm"/>
      <inkml:brushProperty name="height" value="0.05" units="cm"/>
    </inkml:brush>
  </inkml:definitions>
  <inkml:trace contextRef="#ctx0" brushRef="#br0">15 845 3329,'0'0'3519,"0"0"-2556,0 0-712,0 0-63,-11 4-431,8-2 6196,5 18-1328,225-370-3909,-141 228-726,29-31-77,-115 154 86,0-1 0,0 1 0,0-1 0,0 1 0,0-1-1,0 1 1,0-1 0,0 1 0,0-1 0,1 1 0,-1-1 0,0 0 0,0 1-1,0-1 1,1 1 0,-1-1 0,0 0 0,1 1 0,-1-1 0,0 0 0,1 1-1,-1-1 1,0 0 0,1 1 0,-1-1 0,1 0 0,-1 0 0,1 0 0,-1 1 0,0-1-1,1 0 1,-1 0 0,1 0 0,-1 0 0,1 0 0,-1 0 0,1 0 0,-1 0-1,1 0 1,-1 0 0,1 0 0,-1 0 0,1 0 0,-1 0 0,0-1 0,1 1 0,-1 0-1,1 0 1,-1 0 0,1-1 0,-1 1 0,0 0 0,1-1 0,-1 1 0,0 0-1,1-1 1,-1 1 0,0 0 0,1-1 0,-1 1 0,0-1 0,0 1 0,1 0-1,-1-1 1,0 1 0,0-1 0,0 1 0,0-1 0,0 0 1,-1 43 40,1-39-36,-9 50 82,-2-1 0,-3 1 0,-2-2 0,-2 0 0,-5 6-86,10-22 14,-161 383-2159,166-390 144,20-51-221,2-8 2298,263-507 1959,-216 454-1009,-61 84-1017,1 0 1,-1 0 0,1 0 0,-1 0 0,1-1 0,-1 1 0,1 0 0,-1 0-1,1 0 1,-1 0 0,1 0 0,-1 0 0,0 0 0,1 1 0,-1-1 0,1 0-1,-1 0 1,1 0 0,-1 0 0,1 1 0,-1-1 0,1 0 0,-1 0 0,0 1-1,1-1 1,-1 0 0,0 1 0,1-1 0,-1 0 0,0 1 0,1-1 0,-1 1-1,0-1 1,0 0 0,1 1 0,-1-1 0,0 1 0,0-1 0,0 1 0,0-1 0,1 1-1,-1-1 1,0 1 0,0-1 0,0 1 0,0-1 0,0 1 0,0-1 0,-1 1-1,1-1 1,0 1 0,0-1 0,0 0 0,0 1 0,0-1 0,-1 1 0,1-1-1,0 1 1,0-1 0,-1 0 0,1 1 0,0-1 0,-1 1 0,1-1 0,0 0-1,-1 1 1,1-1-10,0 9 113,-44 426 1562,37-279-2083,7-155 377,0 0 0,1 0 0,-1-1 0,0 1 0,0 0 0,0-1 1,1 1-1,-1 0 0,0 0 0,1-1 0,-1 1 0,1-1 0,-1 1 0,1 0 0,-1-1 0,1 1 0,-1-1 0,1 1 0,-1-1 0,1 1 0,0-1 0,-1 0 0,1 1 0,0-1 0,-1 0 0,1 1 0,0-1 0,0 0 0,-1 0 0,1 0 0,0 0 0,0 0 1,-1 0-1,1 0 0,0 0 0,0 0 0,-1 0 0,1 0 0,0 0 0,0 0 0,-1-1 0,1 1 0,0 0 0,-1 0 0,1-1 0,0 1 0,-1-1 0,1 1 0,0-1 0,-1 1 0,1-1 0,-1 1 0,1-1 0,-1 1 0,1-1 0,-1 1 0,0-1 0,1 0 1,-1 1-1,1-2 31,16-13-51,-1-1 0,0-1 0,-1 0 0,-1-1 0,0-1 0,6-10 51,-8 10 21,165-261 1757,-98 172-244,-69 113-1325,-3 152 499,-7 296 74,9-352-1684,-8-99 773,0-1 0,0 1 0,0 0 0,0-1 0,1 0 0,-1 1-1,1-1 1,-1 0 0,1 1 0,-1-1 0,1 0 0,0 0 0,-1 0-1,1-1 1,0 1 0,0 0 0,0-1 0,0 1 0,0-1 0,0 1 0,-1-1-1,1 0 1,0 0 0,0 0 0,0 0 0,0 0 0,0-1 0,0 1 0,0 0-1,0-1 1,0 0 0,0 1 0,-1-1 0,1 0 0,0 0 0,0 0-1,-1 0 1,1 0 0,-1 0 0,1-1 0,0 0 129,12-13-481,-2-1 0,0 0 0,-1-1 0,-1 0 0,0 0 0,-1-1 0,-1-1 0,-1 1 0,3-14 481,-5 18-288,64-203-4416,-47 127-65</inkml:trace>
  <inkml:trace contextRef="#ctx0" brushRef="#br0" timeOffset="1">1494 0 10722,'-9'19'1543,"-58"134"102,-21 46 66,-8-2 1,-103 155-1712,144-279-335,54-71 320,1-3-25,-1 0 1,1 1-1,0-1 0,0 0 1,-1 1-1,1-1 0,0 0 1,-1 1-1,1-1 0,-1 1 1,1-1-1,-1 1 0,1-1 1,-1 1-1,0-1 1,1 1-1,-1-1 0,1 1 1,-1 0-1,0-1 0,1 1 1,-1 0-1,0 0 0,0-1 1,1 1-1,-1 0 0,0 0 1,0 0-1,1 0 0,-1 0 1,0 0-1,1 0 1,-1 0-1,0 0 0,0 0 1,1 1-1,-1-1 0,0 0 1,1 0-1,-1 1 0,0-1 1,1 0-1,-1 1 0,0-1 1,1 1-1,-1-1 0,1 1 1,-1-1-1,1 1 1,-1 0 39,8-544-385,-5 506 1209,6 55-138,-4 25-655,2-2 0,2 1 0,2-1 0,2 0 0,1-1 0,3-1-1,0 0 1,3-1 0,1-1 0,2 0 0,0-2 0,3-2 0,1 0 0,2-1 0,1-1 0,2-2 0,20 15-31,-24-26-7,0-1 1,2-2 0,-1-1 0,2-1-1,0-1 1,1-2 0,-1-1-1,2-2 1,-1 0 0,1-3 0,0 0-1,0-2 1,27-2 6,-48-1-52,1 0 0,-1-1 0,0-1 0,0 1 0,0-2 0,0 0 0,0 0 0,-1-1 0,1 0 0,-1-1 0,-1 0 0,1 0 0,-1-1 0,1-1 52,210-191-3427,-124 96-962</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9144F6-3D23-4D92-BD76-51DFC55A60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m_intnal.dotx</Template>
  <TotalTime>0</TotalTime>
  <Pages>89</Pages>
  <Words>35609</Words>
  <Characters>189090</Characters>
  <Application>Microsoft Office Word</Application>
  <DocSecurity>0</DocSecurity>
  <Lines>3501</Lines>
  <Paragraphs>1841</Paragraphs>
  <ScaleCrop>false</ScaleCrop>
  <HeadingPairs>
    <vt:vector size="2" baseType="variant">
      <vt:variant>
        <vt:lpstr>Title</vt:lpstr>
      </vt:variant>
      <vt:variant>
        <vt:i4>1</vt:i4>
      </vt:variant>
    </vt:vector>
  </HeadingPairs>
  <TitlesOfParts>
    <vt:vector size="1" baseType="lpstr">
      <vt:lpstr>Instruments Handbook</vt:lpstr>
    </vt:vector>
  </TitlesOfParts>
  <Manager/>
  <Company/>
  <LinksUpToDate>false</LinksUpToDate>
  <CharactersWithSpaces>222858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Instruments Handbook</dc:title>
  <dc:subject>Instruments Handbook</dc:subject>
  <dc:creator/>
  <dc:description/>
  <cp:lastModifiedBy/>
  <cp:revision>1</cp:revision>
  <dcterms:created xsi:type="dcterms:W3CDTF">2026-09-18T05:18:00Z</dcterms:created>
  <dcterms:modified xsi:type="dcterms:W3CDTF">2026-09-18T05:18:00Z</dcterms:modified>
  <cp:category>Other - Final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
    <vt:lpwstr>UNOFFICIAL</vt:lpwstr>
  </property>
  <property fmtid="{D5CDD505-2E9C-101B-9397-08002B2CF9AE}" pid="3" name="DLM">
    <vt:lpwstr> </vt:lpwstr>
  </property>
  <property fmtid="{D5CDD505-2E9C-101B-9397-08002B2CF9AE}" pid="4" name="DoNotAsk">
    <vt:lpwstr>0</vt:lpwstr>
  </property>
  <property fmtid="{D5CDD505-2E9C-101B-9397-08002B2CF9AE}" pid="5" name="ChangedTitle">
    <vt:lpwstr/>
  </property>
  <property fmtid="{D5CDD505-2E9C-101B-9397-08002B2CF9AE}" pid="6" name="Type">
    <vt:lpwstr>M</vt:lpwstr>
  </property>
</Properties>
</file>